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2A327" w14:textId="77777777" w:rsidR="00031F27" w:rsidRDefault="0063570B">
      <w:pPr>
        <w:spacing w:beforeLines="50" w:before="156"/>
        <w:jc w:val="center"/>
        <w:rPr>
          <w:rFonts w:ascii="方正小标宋简体" w:eastAsia="方正小标宋简体" w:hAnsi="方正小标宋简体" w:cs="方正小标宋简体"/>
          <w:b/>
          <w:color w:val="FF0000"/>
          <w:spacing w:val="20"/>
          <w:sz w:val="96"/>
          <w:szCs w:val="96"/>
        </w:rPr>
      </w:pPr>
      <w:r>
        <w:rPr>
          <w:rFonts w:ascii="方正小标宋简体" w:eastAsia="方正小标宋简体" w:hAnsi="方正小标宋简体" w:cs="方正小标宋简体" w:hint="eastAsia"/>
          <w:b/>
          <w:color w:val="FF0000"/>
          <w:spacing w:val="20"/>
          <w:sz w:val="96"/>
          <w:szCs w:val="96"/>
        </w:rPr>
        <w:t>教职工政治</w:t>
      </w:r>
      <w:r>
        <w:rPr>
          <w:rFonts w:ascii="方正小标宋简体" w:eastAsia="方正小标宋简体" w:hAnsi="方正小标宋简体" w:cs="方正小标宋简体" w:hint="eastAsia"/>
          <w:b/>
          <w:color w:val="FF0000"/>
          <w:spacing w:val="20"/>
          <w:sz w:val="96"/>
          <w:szCs w:val="96"/>
        </w:rPr>
        <w:t>学习</w:t>
      </w:r>
    </w:p>
    <w:p w14:paraId="075A0E66" w14:textId="77777777" w:rsidR="00031F27" w:rsidRDefault="0063570B">
      <w:pPr>
        <w:spacing w:beforeLines="50" w:before="156"/>
        <w:jc w:val="center"/>
        <w:rPr>
          <w:rFonts w:ascii="方正小标宋简体" w:eastAsia="方正小标宋简体" w:hAnsi="方正小标宋简体" w:cs="方正小标宋简体"/>
          <w:b/>
          <w:color w:val="FF0000"/>
          <w:sz w:val="96"/>
          <w:szCs w:val="96"/>
        </w:rPr>
      </w:pPr>
      <w:r>
        <w:rPr>
          <w:rFonts w:ascii="方正小标宋简体" w:eastAsia="方正小标宋简体" w:hAnsi="方正小标宋简体" w:cs="方正小标宋简体" w:hint="eastAsia"/>
          <w:b/>
          <w:color w:val="FF0000"/>
          <w:sz w:val="96"/>
          <w:szCs w:val="96"/>
        </w:rPr>
        <w:t>参</w:t>
      </w:r>
      <w:r>
        <w:rPr>
          <w:rFonts w:ascii="方正小标宋简体" w:eastAsia="方正小标宋简体" w:hAnsi="方正小标宋简体" w:cs="方正小标宋简体" w:hint="eastAsia"/>
          <w:b/>
          <w:color w:val="FF0000"/>
          <w:sz w:val="96"/>
          <w:szCs w:val="96"/>
        </w:rPr>
        <w:t xml:space="preserve"> </w:t>
      </w:r>
      <w:r>
        <w:rPr>
          <w:rFonts w:ascii="方正小标宋简体" w:eastAsia="方正小标宋简体" w:hAnsi="方正小标宋简体" w:cs="方正小标宋简体" w:hint="eastAsia"/>
          <w:b/>
          <w:color w:val="FF0000"/>
          <w:sz w:val="96"/>
          <w:szCs w:val="96"/>
        </w:rPr>
        <w:t>考</w:t>
      </w:r>
      <w:r>
        <w:rPr>
          <w:rFonts w:ascii="方正小标宋简体" w:eastAsia="方正小标宋简体" w:hAnsi="方正小标宋简体" w:cs="方正小标宋简体" w:hint="eastAsia"/>
          <w:b/>
          <w:color w:val="FF0000"/>
          <w:sz w:val="96"/>
          <w:szCs w:val="96"/>
        </w:rPr>
        <w:t xml:space="preserve"> </w:t>
      </w:r>
      <w:r>
        <w:rPr>
          <w:rFonts w:ascii="方正小标宋简体" w:eastAsia="方正小标宋简体" w:hAnsi="方正小标宋简体" w:cs="方正小标宋简体" w:hint="eastAsia"/>
          <w:b/>
          <w:color w:val="FF0000"/>
          <w:sz w:val="96"/>
          <w:szCs w:val="96"/>
        </w:rPr>
        <w:t>资</w:t>
      </w:r>
      <w:r>
        <w:rPr>
          <w:rFonts w:ascii="方正小标宋简体" w:eastAsia="方正小标宋简体" w:hAnsi="方正小标宋简体" w:cs="方正小标宋简体" w:hint="eastAsia"/>
          <w:b/>
          <w:color w:val="FF0000"/>
          <w:sz w:val="96"/>
          <w:szCs w:val="96"/>
        </w:rPr>
        <w:t xml:space="preserve"> </w:t>
      </w:r>
      <w:r>
        <w:rPr>
          <w:rFonts w:ascii="方正小标宋简体" w:eastAsia="方正小标宋简体" w:hAnsi="方正小标宋简体" w:cs="方正小标宋简体" w:hint="eastAsia"/>
          <w:b/>
          <w:color w:val="FF0000"/>
          <w:sz w:val="96"/>
          <w:szCs w:val="96"/>
        </w:rPr>
        <w:t>料</w:t>
      </w:r>
    </w:p>
    <w:p w14:paraId="24E72304" w14:textId="77777777" w:rsidR="00031F27" w:rsidRDefault="0063570B">
      <w:pPr>
        <w:spacing w:beforeLines="50" w:before="156"/>
        <w:jc w:val="center"/>
        <w:rPr>
          <w:rFonts w:ascii="仿宋_GB2312" w:eastAsia="仿宋_GB2312" w:hAnsi="宋体" w:cs="Times New Roman"/>
          <w:b/>
          <w:sz w:val="32"/>
          <w:szCs w:val="32"/>
        </w:rPr>
      </w:pPr>
      <w:r>
        <w:rPr>
          <w:rFonts w:ascii="仿宋_GB2312" w:eastAsia="仿宋_GB2312" w:hAnsi="宋体" w:cs="Times New Roman" w:hint="eastAsia"/>
          <w:b/>
          <w:sz w:val="32"/>
          <w:szCs w:val="32"/>
        </w:rPr>
        <w:t>第</w:t>
      </w:r>
      <w:r>
        <w:rPr>
          <w:rFonts w:ascii="仿宋_GB2312" w:eastAsia="仿宋_GB2312" w:hAnsi="宋体" w:cs="Times New Roman" w:hint="eastAsia"/>
          <w:b/>
          <w:sz w:val="32"/>
          <w:szCs w:val="32"/>
        </w:rPr>
        <w:t>2</w:t>
      </w:r>
      <w:r>
        <w:rPr>
          <w:rFonts w:ascii="仿宋_GB2312" w:eastAsia="仿宋_GB2312" w:hAnsi="宋体" w:cs="Times New Roman" w:hint="eastAsia"/>
          <w:b/>
          <w:sz w:val="32"/>
          <w:szCs w:val="32"/>
        </w:rPr>
        <w:t>期</w:t>
      </w:r>
    </w:p>
    <w:p w14:paraId="523720A0" w14:textId="77777777" w:rsidR="00031F27" w:rsidRDefault="0063570B">
      <w:pPr>
        <w:spacing w:line="240" w:lineRule="atLeast"/>
        <w:rPr>
          <w:rFonts w:ascii="华文仿宋" w:eastAsia="华文仿宋" w:hAnsi="华文仿宋" w:cs="Times New Roman"/>
          <w:b/>
          <w:sz w:val="28"/>
          <w:szCs w:val="28"/>
        </w:rPr>
      </w:pPr>
      <w:r>
        <w:rPr>
          <w:rFonts w:ascii="华文仿宋" w:eastAsia="华文仿宋" w:hAnsi="华文仿宋" w:cs="Times New Roman" w:hint="eastAsia"/>
          <w:b/>
          <w:noProof/>
          <w:sz w:val="28"/>
          <w:szCs w:val="28"/>
        </w:rPr>
        <mc:AlternateContent>
          <mc:Choice Requires="wps">
            <w:drawing>
              <wp:anchor distT="0" distB="0" distL="0" distR="0" simplePos="0" relativeHeight="2" behindDoc="1" locked="0" layoutInCell="1" allowOverlap="1" wp14:anchorId="3FCC34BF" wp14:editId="18105583">
                <wp:simplePos x="0" y="0"/>
                <wp:positionH relativeFrom="column">
                  <wp:posOffset>-228600</wp:posOffset>
                </wp:positionH>
                <wp:positionV relativeFrom="paragraph">
                  <wp:posOffset>0</wp:posOffset>
                </wp:positionV>
                <wp:extent cx="6057900" cy="544830"/>
                <wp:effectExtent l="5080" t="4445" r="13970" b="22225"/>
                <wp:wrapNone/>
                <wp:docPr id="1026"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54483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14:paraId="4815FC8B" w14:textId="77777777" w:rsidR="00031F27" w:rsidRDefault="0063570B">
                            <w:pPr>
                              <w:spacing w:beforeLines="50" w:before="156" w:line="240" w:lineRule="atLeast"/>
                              <w:ind w:firstLineChars="49" w:firstLine="157"/>
                              <w:rPr>
                                <w:rFonts w:cs="Times New Roman"/>
                              </w:rPr>
                            </w:pPr>
                            <w:r>
                              <w:rPr>
                                <w:rFonts w:ascii="仿宋_GB2312" w:eastAsia="仿宋_GB2312" w:hAnsi="宋体" w:cs="Times New Roman" w:hint="eastAsia"/>
                                <w:b/>
                                <w:color w:val="000000"/>
                                <w:sz w:val="32"/>
                                <w:szCs w:val="32"/>
                              </w:rPr>
                              <w:t>内江师范学院</w:t>
                            </w:r>
                            <w:r>
                              <w:rPr>
                                <w:rFonts w:ascii="仿宋_GB2312" w:eastAsia="仿宋_GB2312" w:hAnsi="宋体" w:cs="Times New Roman" w:hint="eastAsia"/>
                                <w:b/>
                                <w:color w:val="000000"/>
                                <w:sz w:val="32"/>
                                <w:szCs w:val="32"/>
                              </w:rPr>
                              <w:t>党委宣传部编</w:t>
                            </w:r>
                            <w:r>
                              <w:rPr>
                                <w:rFonts w:ascii="宋体" w:hAnsi="宋体" w:cs="Times New Roman" w:hint="eastAsia"/>
                                <w:b/>
                                <w:color w:val="000000"/>
                                <w:sz w:val="28"/>
                                <w:szCs w:val="28"/>
                              </w:rPr>
                              <w:t xml:space="preserve">                 </w:t>
                            </w:r>
                            <w:r>
                              <w:rPr>
                                <w:rFonts w:ascii="仿宋_GB2312" w:eastAsia="仿宋_GB2312" w:hAnsi="宋体" w:cs="Times New Roman"/>
                                <w:b/>
                                <w:color w:val="000000"/>
                                <w:sz w:val="32"/>
                                <w:szCs w:val="32"/>
                              </w:rPr>
                              <w:t>20</w:t>
                            </w:r>
                            <w:r>
                              <w:rPr>
                                <w:rFonts w:ascii="仿宋_GB2312" w:eastAsia="仿宋_GB2312" w:hAnsi="宋体" w:cs="Times New Roman" w:hint="eastAsia"/>
                                <w:b/>
                                <w:color w:val="000000"/>
                                <w:sz w:val="32"/>
                                <w:szCs w:val="32"/>
                              </w:rPr>
                              <w:t>2</w:t>
                            </w:r>
                            <w:r>
                              <w:rPr>
                                <w:rFonts w:ascii="仿宋_GB2312" w:eastAsia="仿宋_GB2312" w:hAnsi="宋体" w:cs="Times New Roman" w:hint="eastAsia"/>
                                <w:b/>
                                <w:color w:val="000000"/>
                                <w:sz w:val="32"/>
                                <w:szCs w:val="32"/>
                              </w:rPr>
                              <w:t>3</w:t>
                            </w:r>
                            <w:r>
                              <w:rPr>
                                <w:rFonts w:ascii="仿宋_GB2312" w:eastAsia="仿宋_GB2312" w:hAnsi="宋体" w:cs="Times New Roman"/>
                                <w:b/>
                                <w:color w:val="000000"/>
                                <w:sz w:val="32"/>
                                <w:szCs w:val="32"/>
                              </w:rPr>
                              <w:t>年</w:t>
                            </w:r>
                            <w:r>
                              <w:rPr>
                                <w:rFonts w:ascii="仿宋_GB2312" w:eastAsia="仿宋_GB2312" w:hAnsi="宋体" w:cs="Times New Roman" w:hint="eastAsia"/>
                                <w:b/>
                                <w:color w:val="000000"/>
                                <w:sz w:val="32"/>
                                <w:szCs w:val="32"/>
                              </w:rPr>
                              <w:t>3</w:t>
                            </w:r>
                            <w:r>
                              <w:rPr>
                                <w:rFonts w:ascii="仿宋_GB2312" w:eastAsia="仿宋_GB2312" w:hAnsi="宋体" w:cs="Times New Roman" w:hint="eastAsia"/>
                                <w:b/>
                                <w:color w:val="000000"/>
                                <w:sz w:val="32"/>
                                <w:szCs w:val="32"/>
                              </w:rPr>
                              <w:t>月</w:t>
                            </w:r>
                            <w:r>
                              <w:rPr>
                                <w:rFonts w:ascii="仿宋_GB2312" w:eastAsia="仿宋_GB2312" w:hAnsi="宋体" w:cs="Times New Roman" w:hint="eastAsia"/>
                                <w:b/>
                                <w:color w:val="000000"/>
                                <w:sz w:val="32"/>
                                <w:szCs w:val="32"/>
                              </w:rPr>
                              <w:t>10</w:t>
                            </w:r>
                            <w:r>
                              <w:rPr>
                                <w:rFonts w:ascii="仿宋_GB2312" w:eastAsia="仿宋_GB2312" w:hAnsi="宋体" w:cs="Times New Roman" w:hint="eastAsia"/>
                                <w:b/>
                                <w:color w:val="000000"/>
                                <w:sz w:val="32"/>
                                <w:szCs w:val="32"/>
                              </w:rPr>
                              <w:t>日</w:t>
                            </w:r>
                          </w:p>
                        </w:txbxContent>
                      </wps:txbx>
                      <wps:bodyPr upright="1">
                        <a:prstTxWarp prst="textNoShape">
                          <a:avLst/>
                        </a:prstTxWarp>
                      </wps:bodyPr>
                    </wps:wsp>
                  </a:graphicData>
                </a:graphic>
              </wp:anchor>
            </w:drawing>
          </mc:Choice>
          <mc:Fallback>
            <w:pict>
              <v:rect w14:anchorId="3FCC34BF" id="文本框 3" o:spid="_x0000_s1026" style="position:absolute;left:0;text-align:left;margin-left:-18pt;margin-top:0;width:477pt;height:42.9pt;z-index:-50331647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" strokecolor="white">
                <v:fill opacity="0"/>
                <v:path arrowok="t"/>
                <v:textbox>
                  <w:txbxContent>
                    <w:p w14:paraId="4815FC8B" w14:textId="77777777" w:rsidR="00031F27" w:rsidRDefault="0063570B">
                      <w:pPr>
                        <w:spacing w:beforeLines="50" w:before="156" w:line="240" w:lineRule="atLeast"/>
                        <w:ind w:firstLineChars="49" w:firstLine="157"/>
                        <w:rPr>
                          <w:rFonts w:cs="Times New Roman"/>
                        </w:rPr>
                      </w:pPr>
                      <w:r>
                        <w:rPr>
                          <w:rFonts w:ascii="仿宋_GB2312" w:eastAsia="仿宋_GB2312" w:hAnsi="宋体" w:cs="Times New Roman" w:hint="eastAsia"/>
                          <w:b/>
                          <w:color w:val="000000"/>
                          <w:sz w:val="32"/>
                          <w:szCs w:val="32"/>
                        </w:rPr>
                        <w:t>内江师范学院</w:t>
                      </w:r>
                      <w:r>
                        <w:rPr>
                          <w:rFonts w:ascii="仿宋_GB2312" w:eastAsia="仿宋_GB2312" w:hAnsi="宋体" w:cs="Times New Roman" w:hint="eastAsia"/>
                          <w:b/>
                          <w:color w:val="000000"/>
                          <w:sz w:val="32"/>
                          <w:szCs w:val="32"/>
                        </w:rPr>
                        <w:t>党委宣传部编</w:t>
                      </w:r>
                      <w:r>
                        <w:rPr>
                          <w:rFonts w:ascii="宋体" w:hAnsi="宋体" w:cs="Times New Roman" w:hint="eastAsia"/>
                          <w:b/>
                          <w:color w:val="000000"/>
                          <w:sz w:val="28"/>
                          <w:szCs w:val="28"/>
                        </w:rPr>
                        <w:t xml:space="preserve">                 </w:t>
                      </w:r>
                      <w:r>
                        <w:rPr>
                          <w:rFonts w:ascii="仿宋_GB2312" w:eastAsia="仿宋_GB2312" w:hAnsi="宋体" w:cs="Times New Roman"/>
                          <w:b/>
                          <w:color w:val="000000"/>
                          <w:sz w:val="32"/>
                          <w:szCs w:val="32"/>
                        </w:rPr>
                        <w:t>20</w:t>
                      </w:r>
                      <w:r>
                        <w:rPr>
                          <w:rFonts w:ascii="仿宋_GB2312" w:eastAsia="仿宋_GB2312" w:hAnsi="宋体" w:cs="Times New Roman" w:hint="eastAsia"/>
                          <w:b/>
                          <w:color w:val="000000"/>
                          <w:sz w:val="32"/>
                          <w:szCs w:val="32"/>
                        </w:rPr>
                        <w:t>2</w:t>
                      </w:r>
                      <w:r>
                        <w:rPr>
                          <w:rFonts w:ascii="仿宋_GB2312" w:eastAsia="仿宋_GB2312" w:hAnsi="宋体" w:cs="Times New Roman" w:hint="eastAsia"/>
                          <w:b/>
                          <w:color w:val="000000"/>
                          <w:sz w:val="32"/>
                          <w:szCs w:val="32"/>
                        </w:rPr>
                        <w:t>3</w:t>
                      </w:r>
                      <w:r>
                        <w:rPr>
                          <w:rFonts w:ascii="仿宋_GB2312" w:eastAsia="仿宋_GB2312" w:hAnsi="宋体" w:cs="Times New Roman"/>
                          <w:b/>
                          <w:color w:val="000000"/>
                          <w:sz w:val="32"/>
                          <w:szCs w:val="32"/>
                        </w:rPr>
                        <w:t>年</w:t>
                      </w:r>
                      <w:r>
                        <w:rPr>
                          <w:rFonts w:ascii="仿宋_GB2312" w:eastAsia="仿宋_GB2312" w:hAnsi="宋体" w:cs="Times New Roman" w:hint="eastAsia"/>
                          <w:b/>
                          <w:color w:val="000000"/>
                          <w:sz w:val="32"/>
                          <w:szCs w:val="32"/>
                        </w:rPr>
                        <w:t>3</w:t>
                      </w:r>
                      <w:r>
                        <w:rPr>
                          <w:rFonts w:ascii="仿宋_GB2312" w:eastAsia="仿宋_GB2312" w:hAnsi="宋体" w:cs="Times New Roman" w:hint="eastAsia"/>
                          <w:b/>
                          <w:color w:val="000000"/>
                          <w:sz w:val="32"/>
                          <w:szCs w:val="32"/>
                        </w:rPr>
                        <w:t>月</w:t>
                      </w:r>
                      <w:r>
                        <w:rPr>
                          <w:rFonts w:ascii="仿宋_GB2312" w:eastAsia="仿宋_GB2312" w:hAnsi="宋体" w:cs="Times New Roman" w:hint="eastAsia"/>
                          <w:b/>
                          <w:color w:val="000000"/>
                          <w:sz w:val="32"/>
                          <w:szCs w:val="32"/>
                        </w:rPr>
                        <w:t>10</w:t>
                      </w:r>
                      <w:r>
                        <w:rPr>
                          <w:rFonts w:ascii="仿宋_GB2312" w:eastAsia="仿宋_GB2312" w:hAnsi="宋体" w:cs="Times New Roman" w:hint="eastAsia"/>
                          <w:b/>
                          <w:color w:val="000000"/>
                          <w:sz w:val="32"/>
                          <w:szCs w:val="32"/>
                        </w:rPr>
                        <w:t>日</w:t>
                      </w:r>
                    </w:p>
                  </w:txbxContent>
                </v:textbox>
              </v:rect>
            </w:pict>
          </mc:Fallback>
        </mc:AlternateContent>
      </w:r>
      <w:r>
        <w:rPr>
          <w:rFonts w:ascii="宋体" w:hAnsi="宋体" w:cs="Times New Roman" w:hint="eastAsia"/>
          <w:b/>
          <w:noProof/>
          <w:sz w:val="28"/>
          <w:szCs w:val="28"/>
        </w:rPr>
        <mc:AlternateContent>
          <mc:Choice Requires="wps">
            <w:drawing>
              <wp:anchor distT="0" distB="0" distL="0" distR="0" simplePos="0" relativeHeight="3" behindDoc="0" locked="0" layoutInCell="1" allowOverlap="1" wp14:anchorId="45AD3910" wp14:editId="2172F6AD">
                <wp:simplePos x="0" y="0"/>
                <wp:positionH relativeFrom="column">
                  <wp:posOffset>-92710</wp:posOffset>
                </wp:positionH>
                <wp:positionV relativeFrom="paragraph">
                  <wp:posOffset>99060</wp:posOffset>
                </wp:positionV>
                <wp:extent cx="5805170" cy="0"/>
                <wp:effectExtent l="0" t="9525" r="5080" b="9525"/>
                <wp:wrapNone/>
                <wp:docPr id="1027"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170" cy="0"/>
                        </a:xfrm>
                        <a:prstGeom prst="line">
                          <a:avLst/>
                        </a:prstGeom>
                        <a:ln w="19050" cap="flat" cmpd="sng">
                          <a:solidFill>
                            <a:srgbClr val="FFFFFF"/>
                          </a:solidFill>
                          <a:prstDash val="solid"/>
                          <a:round/>
                          <a:headEnd type="none" w="med" len="med"/>
                          <a:tailEnd type="none" w="med" len="med"/>
                        </a:ln>
                      </wps:spPr>
                      <wps:bodyPr/>
                    </wps:wsp>
                  </a:graphicData>
                </a:graphic>
              </wp:anchor>
            </w:drawing>
          </mc:Choice>
          <mc:Fallback>
            <w:pict>
              <v:line w14:anchorId="19EA9748" id="直接连接符 4" o:spid="_x0000_s1026" style="position:absolute;left:0;text-align:left;z-index:3;visibility:visible;mso-wrap-style:square;mso-wrap-distance-left:0;mso-wrap-distance-top:0;mso-wrap-distance-right:0;mso-wrap-distance-bottom:0;mso-position-horizontal:absolute;mso-position-horizontal-relative:text;mso-position-vertical:absolute;mso-position-vertical-relative:text" from="-7.3pt,7.8pt" to="449.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" strokecolor="white" strokeweight="1.5pt">
                <o:lock v:ext="edit" shapetype="f"/>
              </v:line>
            </w:pict>
          </mc:Fallback>
        </mc:AlternateContent>
      </w:r>
      <w:bookmarkStart w:id="0" w:name="_Toc14317"/>
      <w:bookmarkStart w:id="1" w:name="_Toc28141"/>
      <w:bookmarkStart w:id="2" w:name="_Toc27463"/>
      <w:bookmarkStart w:id="3" w:name="_Toc31568"/>
    </w:p>
    <w:p w14:paraId="27EB819A" w14:textId="77777777" w:rsidR="00031F27" w:rsidRDefault="0063570B">
      <w:pPr>
        <w:spacing w:line="240" w:lineRule="atLeast"/>
        <w:rPr>
          <w:rFonts w:ascii="仿宋_GB2312" w:eastAsia="仿宋_GB2312" w:hAnsi="Cambria" w:cs="Times New Roman"/>
          <w:b/>
          <w:kern w:val="0"/>
          <w:sz w:val="36"/>
          <w:szCs w:val="36"/>
          <w:lang w:val="zh-CN"/>
        </w:rPr>
      </w:pPr>
      <w:r>
        <w:rPr>
          <w:rFonts w:cs="Times New Roman"/>
          <w:noProof/>
          <w:sz w:val="36"/>
        </w:rPr>
        <mc:AlternateContent>
          <mc:Choice Requires="wps">
            <w:drawing>
              <wp:anchor distT="0" distB="0" distL="0" distR="0" simplePos="0" relativeHeight="4" behindDoc="0" locked="0" layoutInCell="1" allowOverlap="1" wp14:anchorId="526E18D9" wp14:editId="64BC1A0A">
                <wp:simplePos x="0" y="0"/>
                <wp:positionH relativeFrom="column">
                  <wp:posOffset>-93345</wp:posOffset>
                </wp:positionH>
                <wp:positionV relativeFrom="paragraph">
                  <wp:posOffset>57785</wp:posOffset>
                </wp:positionV>
                <wp:extent cx="5819775" cy="9525"/>
                <wp:effectExtent l="0" t="0" r="0" b="0"/>
                <wp:wrapNone/>
                <wp:docPr id="1028"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19775" cy="9525"/>
                        </a:xfrm>
                        <a:prstGeom prst="line">
                          <a:avLst/>
                        </a:prstGeom>
                        <a:ln w="9525" cap="flat" cmpd="sng">
                          <a:solidFill>
                            <a:srgbClr val="FF0000"/>
                          </a:solidFill>
                          <a:prstDash val="solid"/>
                          <a:round/>
                          <a:headEnd type="none" w="med" len="med"/>
                          <a:tailEnd type="none" w="med" len="med"/>
                        </a:ln>
                      </wps:spPr>
                      <wps:bodyPr/>
                    </wps:wsp>
                  </a:graphicData>
                </a:graphic>
              </wp:anchor>
            </w:drawing>
          </mc:Choice>
          <mc:Fallback>
            <w:pict>
              <v:line w14:anchorId="12880343" id="直接连接符 2" o:spid="_x0000_s1026" style="position:absolute;left:0;text-align:left;flip:y;z-index:4;visibility:visible;mso-wrap-style:square;mso-wrap-distance-left:0;mso-wrap-distance-top:0;mso-wrap-distance-right:0;mso-wrap-distance-bottom:0;mso-position-horizontal:absolute;mso-position-horizontal-relative:text;mso-position-vertical:absolute;mso-position-vertical-relative:text" from="-7.35pt,4.55pt" to="450.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" strokecolor="red">
                <o:lock v:ext="edit" shapetype="f"/>
              </v:line>
            </w:pict>
          </mc:Fallback>
        </mc:AlternateContent>
      </w:r>
    </w:p>
    <w:p w14:paraId="10D7C4DE" w14:textId="77777777" w:rsidR="00031F27" w:rsidRDefault="00031F27">
      <w:pPr>
        <w:spacing w:line="240" w:lineRule="atLeast"/>
        <w:rPr>
          <w:rFonts w:ascii="仿宋_GB2312" w:eastAsia="仿宋_GB2312" w:hAnsi="Cambria" w:cs="Times New Roman"/>
          <w:b/>
          <w:kern w:val="0"/>
          <w:sz w:val="36"/>
          <w:szCs w:val="36"/>
          <w:lang w:val="zh-CN"/>
        </w:rPr>
      </w:pPr>
    </w:p>
    <w:p w14:paraId="40A83CE9" w14:textId="77777777" w:rsidR="00031F27" w:rsidRDefault="00031F27">
      <w:pPr>
        <w:spacing w:line="240" w:lineRule="atLeast"/>
        <w:rPr>
          <w:rFonts w:ascii="仿宋_GB2312" w:eastAsia="仿宋_GB2312" w:hAnsi="Cambria" w:cs="Times New Roman"/>
          <w:b/>
          <w:kern w:val="0"/>
          <w:sz w:val="36"/>
          <w:szCs w:val="36"/>
          <w:lang w:val="zh-CN"/>
        </w:rPr>
      </w:pPr>
    </w:p>
    <w:p w14:paraId="11357C55" w14:textId="77777777" w:rsidR="00031F27" w:rsidRDefault="0063570B">
      <w:pPr>
        <w:spacing w:line="240" w:lineRule="atLeast"/>
        <w:rPr>
          <w:rFonts w:ascii="华文仿宋" w:eastAsia="华文仿宋" w:hAnsi="华文仿宋" w:cs="Times New Roman"/>
          <w:b/>
          <w:sz w:val="36"/>
          <w:szCs w:val="36"/>
        </w:rPr>
      </w:pPr>
      <w:r>
        <w:rPr>
          <w:rFonts w:ascii="仿宋_GB2312" w:eastAsia="仿宋_GB2312" w:hAnsi="Cambria" w:cs="Times New Roman" w:hint="eastAsia"/>
          <w:b/>
          <w:kern w:val="0"/>
          <w:sz w:val="36"/>
          <w:szCs w:val="36"/>
          <w:lang w:val="zh-CN"/>
        </w:rPr>
        <w:t>本期要目</w:t>
      </w:r>
      <w:bookmarkEnd w:id="0"/>
      <w:bookmarkEnd w:id="1"/>
      <w:bookmarkEnd w:id="2"/>
      <w:bookmarkEnd w:id="3"/>
    </w:p>
    <w:p w14:paraId="4BEF7982" w14:textId="77777777" w:rsidR="00031F27" w:rsidRDefault="00031F27">
      <w:pPr>
        <w:spacing w:line="360" w:lineRule="auto"/>
        <w:rPr>
          <w:rFonts w:ascii="仿宋_GB2312" w:eastAsia="仿宋_GB2312" w:cs="Times New Roman"/>
          <w:b/>
          <w:bCs/>
          <w:sz w:val="36"/>
          <w:szCs w:val="36"/>
        </w:rPr>
      </w:pPr>
    </w:p>
    <w:p w14:paraId="3D1545A5" w14:textId="77777777" w:rsidR="00031F27" w:rsidRDefault="0063570B">
      <w:pPr>
        <w:pStyle w:val="2"/>
        <w:widowControl/>
        <w:spacing w:beforeAutospacing="0" w:after="150" w:afterAutospacing="0" w:line="780" w:lineRule="atLeast"/>
        <w:rPr>
          <w:rFonts w:ascii="仿宋" w:eastAsia="仿宋" w:hAnsi="仿宋" w:cs="仿宋" w:hint="default"/>
          <w:b w:val="0"/>
          <w:snapToGrid w:val="0"/>
          <w:spacing w:val="-8"/>
          <w:kern w:val="2"/>
          <w:sz w:val="32"/>
          <w:szCs w:val="32"/>
        </w:rPr>
      </w:pPr>
      <w:r>
        <w:rPr>
          <w:rFonts w:ascii="仿宋" w:eastAsia="仿宋" w:hAnsi="仿宋" w:cs="仿宋"/>
          <w:b w:val="0"/>
          <w:snapToGrid w:val="0"/>
          <w:spacing w:val="-8"/>
          <w:kern w:val="2"/>
        </w:rPr>
        <w:t>◆习近平：</w:t>
      </w:r>
      <w:r>
        <w:rPr>
          <w:rFonts w:ascii="仿宋" w:eastAsia="仿宋" w:hAnsi="仿宋" w:cs="仿宋"/>
          <w:b w:val="0"/>
          <w:snapToGrid w:val="0"/>
          <w:spacing w:val="-8"/>
          <w:kern w:val="2"/>
          <w:sz w:val="32"/>
          <w:szCs w:val="32"/>
        </w:rPr>
        <w:t>在复兴之路上坚定前行——《复兴文库》序言</w:t>
      </w:r>
    </w:p>
    <w:p w14:paraId="741DA77A" w14:textId="77777777" w:rsidR="00031F27" w:rsidRDefault="0063570B">
      <w:pPr>
        <w:tabs>
          <w:tab w:val="right" w:leader="dot" w:pos="8296"/>
        </w:tabs>
        <w:spacing w:line="560" w:lineRule="exact"/>
        <w:rPr>
          <w:rFonts w:ascii="仿宋" w:eastAsia="仿宋" w:hAnsi="仿宋" w:cs="仿宋"/>
          <w:bCs/>
          <w:snapToGrid w:val="0"/>
          <w:spacing w:val="-8"/>
          <w:sz w:val="36"/>
          <w:szCs w:val="36"/>
        </w:rPr>
      </w:pPr>
      <w:r>
        <w:rPr>
          <w:rFonts w:ascii="仿宋" w:eastAsia="仿宋" w:hAnsi="仿宋" w:cs="仿宋" w:hint="eastAsia"/>
          <w:bCs/>
          <w:snapToGrid w:val="0"/>
          <w:spacing w:val="-8"/>
          <w:sz w:val="36"/>
          <w:szCs w:val="36"/>
        </w:rPr>
        <w:tab/>
        <w:t>1</w:t>
      </w:r>
    </w:p>
    <w:p w14:paraId="30AED9AC" w14:textId="77777777" w:rsidR="00031F27" w:rsidRDefault="0063570B">
      <w:pPr>
        <w:pStyle w:val="2"/>
        <w:widowControl/>
        <w:spacing w:beforeAutospacing="0" w:after="150" w:afterAutospacing="0" w:line="780" w:lineRule="atLeast"/>
        <w:rPr>
          <w:rFonts w:ascii="仿宋" w:eastAsia="仿宋" w:hAnsi="仿宋" w:cs="仿宋" w:hint="default"/>
          <w:b w:val="0"/>
          <w:snapToGrid w:val="0"/>
          <w:spacing w:val="-8"/>
          <w:kern w:val="2"/>
          <w:sz w:val="32"/>
          <w:szCs w:val="32"/>
        </w:rPr>
      </w:pPr>
      <w:r>
        <w:rPr>
          <w:rFonts w:ascii="仿宋" w:eastAsia="仿宋" w:hAnsi="仿宋" w:cs="仿宋"/>
          <w:b w:val="0"/>
          <w:snapToGrid w:val="0"/>
          <w:spacing w:val="-8"/>
          <w:kern w:val="2"/>
        </w:rPr>
        <w:t>◆</w:t>
      </w:r>
      <w:r>
        <w:rPr>
          <w:rFonts w:ascii="仿宋" w:eastAsia="仿宋" w:hAnsi="仿宋" w:cs="仿宋"/>
          <w:b w:val="0"/>
          <w:snapToGrid w:val="0"/>
          <w:spacing w:val="-8"/>
          <w:kern w:val="2"/>
          <w:sz w:val="32"/>
          <w:szCs w:val="32"/>
        </w:rPr>
        <w:t>《中华人民共和国科学技术进步法（精选）》</w:t>
      </w:r>
    </w:p>
    <w:p w14:paraId="3EE17A1F" w14:textId="77777777" w:rsidR="00031F27" w:rsidRDefault="0063570B">
      <w:pPr>
        <w:tabs>
          <w:tab w:val="right" w:leader="dot" w:pos="8296"/>
        </w:tabs>
        <w:spacing w:line="560" w:lineRule="exact"/>
        <w:rPr>
          <w:rFonts w:ascii="仿宋" w:eastAsia="仿宋" w:hAnsi="仿宋" w:cs="仿宋"/>
          <w:bCs/>
          <w:snapToGrid w:val="0"/>
          <w:spacing w:val="-8"/>
          <w:sz w:val="36"/>
          <w:szCs w:val="36"/>
        </w:rPr>
      </w:pPr>
      <w:r>
        <w:rPr>
          <w:rFonts w:ascii="仿宋" w:eastAsia="仿宋" w:hAnsi="仿宋" w:cs="仿宋" w:hint="eastAsia"/>
          <w:bCs/>
          <w:snapToGrid w:val="0"/>
          <w:spacing w:val="-8"/>
          <w:sz w:val="36"/>
          <w:szCs w:val="36"/>
        </w:rPr>
        <w:tab/>
      </w:r>
      <w:r>
        <w:rPr>
          <w:rFonts w:ascii="仿宋" w:eastAsia="仿宋" w:hAnsi="仿宋" w:cs="仿宋"/>
          <w:bCs/>
          <w:snapToGrid w:val="0"/>
          <w:spacing w:val="-8"/>
          <w:sz w:val="36"/>
          <w:szCs w:val="36"/>
        </w:rPr>
        <w:t>4</w:t>
      </w:r>
    </w:p>
    <w:p w14:paraId="6B16BA8C" w14:textId="77777777" w:rsidR="00031F27" w:rsidRDefault="00031F27">
      <w:pPr>
        <w:tabs>
          <w:tab w:val="right" w:leader="dot" w:pos="8296"/>
        </w:tabs>
        <w:spacing w:line="560" w:lineRule="exact"/>
        <w:rPr>
          <w:rFonts w:ascii="仿宋" w:eastAsia="仿宋" w:hAnsi="仿宋" w:cs="仿宋"/>
          <w:bCs/>
          <w:snapToGrid w:val="0"/>
          <w:spacing w:val="-8"/>
          <w:sz w:val="36"/>
          <w:szCs w:val="36"/>
        </w:rPr>
      </w:pPr>
    </w:p>
    <w:p w14:paraId="61FF6B0B" w14:textId="77777777" w:rsidR="00031F27" w:rsidRDefault="00031F27">
      <w:pPr>
        <w:ind w:firstLineChars="216" w:firstLine="642"/>
        <w:rPr>
          <w:rStyle w:val="a6"/>
          <w:rFonts w:ascii="宋体" w:hAnsi="宋体"/>
          <w:spacing w:val="8"/>
          <w:sz w:val="28"/>
          <w:szCs w:val="28"/>
        </w:rPr>
      </w:pPr>
    </w:p>
    <w:p w14:paraId="1EBA6B47" w14:textId="77777777" w:rsidR="00031F27" w:rsidRDefault="00031F27">
      <w:pPr>
        <w:pStyle w:val="1"/>
        <w:rPr>
          <w:rStyle w:val="a6"/>
          <w:rFonts w:ascii="宋体" w:hAnsi="宋体"/>
          <w:spacing w:val="8"/>
          <w:sz w:val="28"/>
          <w:szCs w:val="28"/>
        </w:rPr>
      </w:pPr>
    </w:p>
    <w:p w14:paraId="70B233F1" w14:textId="77777777" w:rsidR="00031F27" w:rsidRPr="000D0263" w:rsidRDefault="00031F27">
      <w:pPr>
        <w:rPr>
          <w:rStyle w:val="a6"/>
          <w:rFonts w:ascii="宋体" w:hAnsi="宋体" w:hint="eastAsia"/>
          <w:spacing w:val="8"/>
          <w:sz w:val="24"/>
        </w:rPr>
      </w:pPr>
    </w:p>
    <w:p w14:paraId="7F7FAABE" w14:textId="77777777" w:rsidR="00031F27" w:rsidRPr="000D0263" w:rsidRDefault="0063570B">
      <w:pPr>
        <w:pStyle w:val="a5"/>
        <w:widowControl/>
        <w:spacing w:beforeAutospacing="0" w:afterAutospacing="0" w:line="360" w:lineRule="auto"/>
        <w:jc w:val="center"/>
        <w:rPr>
          <w:color w:val="222222"/>
        </w:rPr>
      </w:pPr>
      <w:r w:rsidRPr="000D0263">
        <w:rPr>
          <w:rFonts w:ascii="Arial" w:hAnsi="Arial" w:cs="Arial"/>
          <w:b/>
          <w:bCs/>
          <w:color w:val="333333"/>
          <w:shd w:val="clear" w:color="auto" w:fill="FFFFFF"/>
        </w:rPr>
        <w:lastRenderedPageBreak/>
        <w:t>在复兴之路上坚定前行</w:t>
      </w:r>
      <w:r w:rsidRPr="000D0263">
        <w:rPr>
          <w:rFonts w:ascii="Arial" w:hAnsi="Arial" w:cs="Arial"/>
          <w:b/>
          <w:bCs/>
          <w:color w:val="333333"/>
          <w:shd w:val="clear" w:color="auto" w:fill="FFFFFF"/>
        </w:rPr>
        <w:t>——</w:t>
      </w:r>
      <w:r w:rsidRPr="000D0263">
        <w:rPr>
          <w:rFonts w:ascii="Arial" w:hAnsi="Arial" w:cs="Arial"/>
          <w:b/>
          <w:bCs/>
          <w:color w:val="333333"/>
          <w:shd w:val="clear" w:color="auto" w:fill="FFFFFF"/>
        </w:rPr>
        <w:t>《复兴文库》序言</w:t>
      </w:r>
    </w:p>
    <w:p w14:paraId="5FC64783" w14:textId="77777777" w:rsidR="00031F27" w:rsidRPr="000D0263" w:rsidRDefault="0063570B">
      <w:pPr>
        <w:pStyle w:val="a5"/>
        <w:widowControl/>
        <w:spacing w:beforeAutospacing="0" w:afterAutospacing="0" w:line="360" w:lineRule="auto"/>
        <w:jc w:val="center"/>
        <w:rPr>
          <w:color w:val="222222"/>
        </w:rPr>
      </w:pPr>
      <w:r w:rsidRPr="000D0263">
        <w:rPr>
          <w:rFonts w:ascii="Arial" w:hAnsi="Arial" w:cs="Arial"/>
          <w:color w:val="222222"/>
          <w:shd w:val="clear" w:color="auto" w:fill="FFFFFF"/>
        </w:rPr>
        <w:t>（</w:t>
      </w:r>
      <w:r w:rsidRPr="000D0263">
        <w:rPr>
          <w:rFonts w:ascii="Arial" w:hAnsi="Arial" w:cs="Arial"/>
          <w:color w:val="222222"/>
          <w:shd w:val="clear" w:color="auto" w:fill="FFFFFF"/>
        </w:rPr>
        <w:t>2022</w:t>
      </w:r>
      <w:r w:rsidRPr="000D0263">
        <w:rPr>
          <w:rFonts w:ascii="Arial" w:hAnsi="Arial" w:cs="Arial"/>
          <w:color w:val="222222"/>
          <w:shd w:val="clear" w:color="auto" w:fill="FFFFFF"/>
        </w:rPr>
        <w:t>年</w:t>
      </w:r>
      <w:r w:rsidRPr="000D0263">
        <w:rPr>
          <w:rFonts w:ascii="Arial" w:hAnsi="Arial" w:cs="Arial"/>
          <w:color w:val="222222"/>
          <w:shd w:val="clear" w:color="auto" w:fill="FFFFFF"/>
        </w:rPr>
        <w:t>9</w:t>
      </w:r>
      <w:r w:rsidRPr="000D0263">
        <w:rPr>
          <w:rFonts w:ascii="Arial" w:hAnsi="Arial" w:cs="Arial"/>
          <w:color w:val="222222"/>
          <w:shd w:val="clear" w:color="auto" w:fill="FFFFFF"/>
        </w:rPr>
        <w:t>月</w:t>
      </w:r>
      <w:r w:rsidRPr="000D0263">
        <w:rPr>
          <w:rFonts w:ascii="Arial" w:hAnsi="Arial" w:cs="Arial"/>
          <w:color w:val="222222"/>
          <w:shd w:val="clear" w:color="auto" w:fill="FFFFFF"/>
        </w:rPr>
        <w:t>20</w:t>
      </w:r>
      <w:r w:rsidRPr="000D0263">
        <w:rPr>
          <w:rFonts w:ascii="Arial" w:hAnsi="Arial" w:cs="Arial"/>
          <w:color w:val="222222"/>
          <w:shd w:val="clear" w:color="auto" w:fill="FFFFFF"/>
        </w:rPr>
        <w:t>日）习近平</w:t>
      </w:r>
    </w:p>
    <w:p w14:paraId="54B25C9B" w14:textId="77777777" w:rsidR="00031F27" w:rsidRPr="000D0263" w:rsidRDefault="0063570B">
      <w:pPr>
        <w:pStyle w:val="a5"/>
        <w:widowControl/>
        <w:spacing w:beforeAutospacing="0" w:afterAutospacing="0" w:line="360" w:lineRule="auto"/>
        <w:ind w:firstLineChars="200" w:firstLine="480"/>
        <w:rPr>
          <w:color w:val="222222"/>
        </w:rPr>
      </w:pPr>
      <w:r w:rsidRPr="000D0263">
        <w:rPr>
          <w:rFonts w:ascii="Arial" w:hAnsi="Arial" w:cs="Arial"/>
          <w:color w:val="222222"/>
          <w:shd w:val="clear" w:color="auto" w:fill="FFFFFF"/>
        </w:rPr>
        <w:t>修史立典，存史启智，以文化人，这是中华民族延续几千年的一个传统。编纂《复兴文库》，是党中央批准实施的重大文化工程。在我们党带领人民迈上全面建设社会主义现代化国家新征程之际，这部典籍的出版，对于我们坚定历史自信、把握时代大势、走好中国道路，以中国式现代化推进中华民族伟大复兴具有十分重要的意义。</w:t>
      </w:r>
    </w:p>
    <w:p w14:paraId="5997955A" w14:textId="77777777" w:rsidR="00031F27" w:rsidRPr="000D0263" w:rsidRDefault="0063570B">
      <w:pPr>
        <w:pStyle w:val="a5"/>
        <w:widowControl/>
        <w:spacing w:beforeAutospacing="0" w:afterAutospacing="0" w:line="360" w:lineRule="auto"/>
        <w:ind w:firstLineChars="200" w:firstLine="480"/>
        <w:rPr>
          <w:color w:val="222222"/>
        </w:rPr>
      </w:pPr>
      <w:r w:rsidRPr="000D0263">
        <w:rPr>
          <w:rFonts w:ascii="Arial" w:hAnsi="Arial" w:cs="Arial"/>
          <w:color w:val="222222"/>
          <w:shd w:val="clear" w:color="auto" w:fill="FFFFFF"/>
        </w:rPr>
        <w:t>中华民族是世界上伟大的民族，为人类文明进步</w:t>
      </w:r>
      <w:proofErr w:type="gramStart"/>
      <w:r w:rsidRPr="000D0263">
        <w:rPr>
          <w:rFonts w:ascii="Arial" w:hAnsi="Arial" w:cs="Arial"/>
          <w:color w:val="222222"/>
          <w:shd w:val="clear" w:color="auto" w:fill="FFFFFF"/>
        </w:rPr>
        <w:t>作出</w:t>
      </w:r>
      <w:proofErr w:type="gramEnd"/>
      <w:r w:rsidRPr="000D0263">
        <w:rPr>
          <w:rFonts w:ascii="Arial" w:hAnsi="Arial" w:cs="Arial"/>
          <w:color w:val="222222"/>
          <w:shd w:val="clear" w:color="auto" w:fill="FFFFFF"/>
        </w:rPr>
        <w:t>了不可磨灭的贡献。近代以后，中华民族遭受了前所未有的劫难。从那时起，实现中华民族伟大复兴就成为中国人民和中华民族最伟大的梦想。无数仁人志士矢志不渝、上下求索，奔走呐喊、奋起</w:t>
      </w:r>
      <w:r w:rsidRPr="000D0263">
        <w:rPr>
          <w:rFonts w:ascii="Arial" w:hAnsi="Arial" w:cs="Arial"/>
          <w:color w:val="222222"/>
          <w:shd w:val="clear" w:color="auto" w:fill="FFFFFF"/>
        </w:rPr>
        <w:t>抗争。中国共产党成立后，团结带领人民前仆后继，进行艰苦卓绝的斗争，坚持马克思主义指导地位，找到了实现中华民族伟大复兴的正确道路，通过革命、建设、改革各个历史时期的不懈努力，迎来了从站起来、富起来到强起来的伟大飞跃，谱写了中华民族发展进程中最为波澜壮阔的历史篇章，中华民族伟大复兴展现出前所未有的光明前景。历史已经证明并将继续证明，在中国共产党坚强领导下，坚持科学理论指导和正确道路指引，凝聚亿万人民团结奋斗的磅礴力量，中国人民就能把中国发展进步的命运牢牢掌握在自己手中！</w:t>
      </w:r>
    </w:p>
    <w:p w14:paraId="27497EE1" w14:textId="77777777" w:rsidR="00031F27" w:rsidRPr="000D0263" w:rsidRDefault="0063570B">
      <w:pPr>
        <w:pStyle w:val="a5"/>
        <w:widowControl/>
        <w:spacing w:beforeAutospacing="0" w:afterAutospacing="0" w:line="360" w:lineRule="auto"/>
        <w:ind w:firstLineChars="200" w:firstLine="480"/>
        <w:rPr>
          <w:color w:val="222222"/>
        </w:rPr>
      </w:pPr>
      <w:r w:rsidRPr="000D0263">
        <w:rPr>
          <w:rFonts w:ascii="Arial" w:hAnsi="Arial" w:cs="Arial"/>
          <w:color w:val="222222"/>
          <w:shd w:val="clear" w:color="auto" w:fill="FFFFFF"/>
        </w:rPr>
        <w:t>在实现伟大复兴的历史进程中，一代</w:t>
      </w:r>
      <w:proofErr w:type="gramStart"/>
      <w:r w:rsidRPr="000D0263">
        <w:rPr>
          <w:rFonts w:ascii="Arial" w:hAnsi="Arial" w:cs="Arial"/>
          <w:color w:val="222222"/>
          <w:shd w:val="clear" w:color="auto" w:fill="FFFFFF"/>
        </w:rPr>
        <w:t>代</w:t>
      </w:r>
      <w:proofErr w:type="gramEnd"/>
      <w:r w:rsidRPr="000D0263">
        <w:rPr>
          <w:rFonts w:ascii="Arial" w:hAnsi="Arial" w:cs="Arial"/>
          <w:color w:val="222222"/>
          <w:shd w:val="clear" w:color="auto" w:fill="FFFFFF"/>
        </w:rPr>
        <w:t>中华民</w:t>
      </w:r>
      <w:r w:rsidRPr="000D0263">
        <w:rPr>
          <w:rFonts w:ascii="Arial" w:hAnsi="Arial" w:cs="Arial"/>
          <w:color w:val="222222"/>
          <w:shd w:val="clear" w:color="auto" w:fill="FFFFFF"/>
        </w:rPr>
        <w:t>族的先进分子和优秀儿女探索、奋斗、牺牲、创造，留下了大量具有重要历史价值和时代意义的珍贵文献。编纂出版《复兴文库》大型历史文献丛书，就是要通过对近代以来重要思想文献的选编，</w:t>
      </w:r>
      <w:proofErr w:type="gramStart"/>
      <w:r w:rsidRPr="000D0263">
        <w:rPr>
          <w:rFonts w:ascii="Arial" w:hAnsi="Arial" w:cs="Arial"/>
          <w:color w:val="222222"/>
          <w:shd w:val="clear" w:color="auto" w:fill="FFFFFF"/>
        </w:rPr>
        <w:t>述录先人</w:t>
      </w:r>
      <w:proofErr w:type="gramEnd"/>
      <w:r w:rsidRPr="000D0263">
        <w:rPr>
          <w:rFonts w:ascii="Arial" w:hAnsi="Arial" w:cs="Arial"/>
          <w:color w:val="222222"/>
          <w:shd w:val="clear" w:color="auto" w:fill="FFFFFF"/>
        </w:rPr>
        <w:t>的开拓，启迪来者的奋斗。</w:t>
      </w:r>
    </w:p>
    <w:p w14:paraId="499547C4" w14:textId="77777777" w:rsidR="00031F27" w:rsidRPr="000D0263" w:rsidRDefault="0063570B">
      <w:pPr>
        <w:pStyle w:val="a5"/>
        <w:widowControl/>
        <w:spacing w:beforeAutospacing="0" w:afterAutospacing="0" w:line="360" w:lineRule="auto"/>
        <w:ind w:firstLineChars="200" w:firstLine="480"/>
        <w:rPr>
          <w:color w:val="222222"/>
        </w:rPr>
      </w:pPr>
      <w:r w:rsidRPr="000D0263">
        <w:rPr>
          <w:rFonts w:ascii="Arial" w:hAnsi="Arial" w:cs="Arial"/>
          <w:color w:val="222222"/>
          <w:shd w:val="clear" w:color="auto" w:fill="FFFFFF"/>
        </w:rPr>
        <w:t>历史是最好的教科书，一切向前走，都不能忘记走过的路；走得再远、</w:t>
      </w:r>
      <w:proofErr w:type="gramStart"/>
      <w:r w:rsidRPr="000D0263">
        <w:rPr>
          <w:rFonts w:ascii="Arial" w:hAnsi="Arial" w:cs="Arial"/>
          <w:color w:val="222222"/>
          <w:shd w:val="clear" w:color="auto" w:fill="FFFFFF"/>
        </w:rPr>
        <w:t>走到再</w:t>
      </w:r>
      <w:proofErr w:type="gramEnd"/>
      <w:r w:rsidRPr="000D0263">
        <w:rPr>
          <w:rFonts w:ascii="Arial" w:hAnsi="Arial" w:cs="Arial"/>
          <w:color w:val="222222"/>
          <w:shd w:val="clear" w:color="auto" w:fill="FFFFFF"/>
        </w:rPr>
        <w:t>光辉的未来，也不能忘记走过的过去。当前，世界百年未有之大变局加速演进，中华民族伟大复兴进入关键时期，我们更需要以史为鉴、</w:t>
      </w:r>
      <w:proofErr w:type="gramStart"/>
      <w:r w:rsidRPr="000D0263">
        <w:rPr>
          <w:rFonts w:ascii="Arial" w:hAnsi="Arial" w:cs="Arial"/>
          <w:color w:val="222222"/>
          <w:shd w:val="clear" w:color="auto" w:fill="FFFFFF"/>
        </w:rPr>
        <w:t>察往知</w:t>
      </w:r>
      <w:proofErr w:type="gramEnd"/>
      <w:r w:rsidRPr="000D0263">
        <w:rPr>
          <w:rFonts w:ascii="Arial" w:hAnsi="Arial" w:cs="Arial"/>
          <w:color w:val="222222"/>
          <w:shd w:val="clear" w:color="auto" w:fill="FFFFFF"/>
        </w:rPr>
        <w:t>来。</w:t>
      </w:r>
    </w:p>
    <w:p w14:paraId="7EEF15B9" w14:textId="77777777" w:rsidR="00031F27" w:rsidRPr="000D0263" w:rsidRDefault="0063570B">
      <w:pPr>
        <w:pStyle w:val="a5"/>
        <w:widowControl/>
        <w:spacing w:beforeAutospacing="0" w:afterAutospacing="0" w:line="360" w:lineRule="auto"/>
        <w:ind w:firstLineChars="200" w:firstLine="480"/>
        <w:rPr>
          <w:color w:val="222222"/>
        </w:rPr>
      </w:pPr>
      <w:r w:rsidRPr="000D0263">
        <w:rPr>
          <w:rFonts w:ascii="Arial" w:hAnsi="Arial" w:cs="Arial"/>
          <w:color w:val="222222"/>
          <w:shd w:val="clear" w:color="auto" w:fill="FFFFFF"/>
        </w:rPr>
        <w:t>我们要在学好党史的基础上，学好中国近代史，学好中国历史，弄清楚我们从哪里来、要到哪里去，弄清楚中国共产党人</w:t>
      </w:r>
      <w:r w:rsidRPr="000D0263">
        <w:rPr>
          <w:rFonts w:ascii="Arial" w:hAnsi="Arial" w:cs="Arial"/>
          <w:color w:val="222222"/>
          <w:shd w:val="clear" w:color="auto" w:fill="FFFFFF"/>
        </w:rPr>
        <w:t>是干什么的、已经干了什么、还要干什么，弄清楚过去我们为什么能够成功、未来怎样才能继续成功。要坚定文化自信、增强文化自觉，传承革命文化、发展社会主义先进文化，推动中华优秀传统文化创造性转化、创新性发展，构筑中华民族共有精神家园。要萃取历史精华，</w:t>
      </w:r>
      <w:r w:rsidRPr="000D0263">
        <w:rPr>
          <w:rFonts w:ascii="Arial" w:hAnsi="Arial" w:cs="Arial"/>
          <w:color w:val="222222"/>
          <w:shd w:val="clear" w:color="auto" w:fill="FFFFFF"/>
        </w:rPr>
        <w:lastRenderedPageBreak/>
        <w:t>推动理论创新，更好繁荣中国学术、发展中国理论、传播中国思想，不断推进马克思主义中国化时代化。要坚定理想信念，凝聚精神力量，在新时代更好坚持和发展中国特色社会主义，为实现中华民族伟大复兴的中国</w:t>
      </w:r>
      <w:proofErr w:type="gramStart"/>
      <w:r w:rsidRPr="000D0263">
        <w:rPr>
          <w:rFonts w:ascii="Arial" w:hAnsi="Arial" w:cs="Arial"/>
          <w:color w:val="222222"/>
          <w:shd w:val="clear" w:color="auto" w:fill="FFFFFF"/>
        </w:rPr>
        <w:t>梦贡献</w:t>
      </w:r>
      <w:proofErr w:type="gramEnd"/>
      <w:r w:rsidRPr="000D0263">
        <w:rPr>
          <w:rFonts w:ascii="Arial" w:hAnsi="Arial" w:cs="Arial"/>
          <w:color w:val="222222"/>
          <w:shd w:val="clear" w:color="auto" w:fill="FFFFFF"/>
        </w:rPr>
        <w:t>我们这一代人的智慧和力量，创造属于我们这一代人的业绩和荣光。</w:t>
      </w:r>
    </w:p>
    <w:p w14:paraId="35214D26" w14:textId="77777777" w:rsidR="00031F27" w:rsidRPr="000D0263" w:rsidRDefault="00031F27">
      <w:pPr>
        <w:pStyle w:val="a5"/>
        <w:widowControl/>
        <w:spacing w:beforeAutospacing="0" w:afterAutospacing="0" w:line="240" w:lineRule="atLeast"/>
        <w:rPr>
          <w:rFonts w:ascii="仿宋" w:eastAsia="仿宋" w:hAnsi="仿宋" w:cs="仿宋"/>
          <w:shd w:val="clear" w:color="auto" w:fill="FFFFFF"/>
        </w:rPr>
      </w:pPr>
    </w:p>
    <w:p w14:paraId="599976DB" w14:textId="77777777" w:rsidR="00031F27" w:rsidRPr="000D0263" w:rsidRDefault="00031F27">
      <w:pPr>
        <w:pStyle w:val="a5"/>
        <w:widowControl/>
        <w:spacing w:beforeAutospacing="0" w:afterAutospacing="0" w:line="240" w:lineRule="atLeast"/>
        <w:ind w:firstLine="420"/>
        <w:rPr>
          <w:rFonts w:ascii="仿宋" w:eastAsia="仿宋" w:hAnsi="仿宋" w:cs="仿宋"/>
          <w:shd w:val="clear" w:color="auto" w:fill="FFFFFF"/>
        </w:rPr>
      </w:pPr>
    </w:p>
    <w:p w14:paraId="6F719768" w14:textId="77777777" w:rsidR="00031F27" w:rsidRPr="000D0263" w:rsidRDefault="00031F27">
      <w:pPr>
        <w:pStyle w:val="a5"/>
        <w:widowControl/>
        <w:spacing w:beforeAutospacing="0" w:afterAutospacing="0" w:line="240" w:lineRule="atLeast"/>
        <w:rPr>
          <w:rFonts w:ascii="仿宋" w:eastAsia="仿宋" w:hAnsi="仿宋" w:cs="仿宋"/>
          <w:shd w:val="clear" w:color="auto" w:fill="FFFFFF"/>
        </w:rPr>
      </w:pPr>
    </w:p>
    <w:p w14:paraId="73CA678A" w14:textId="77777777" w:rsidR="00031F27" w:rsidRPr="000D0263" w:rsidRDefault="00031F27">
      <w:pPr>
        <w:pStyle w:val="a5"/>
        <w:widowControl/>
        <w:spacing w:beforeAutospacing="0" w:afterAutospacing="0" w:line="240" w:lineRule="atLeast"/>
        <w:ind w:firstLine="420"/>
        <w:rPr>
          <w:rFonts w:ascii="仿宋" w:eastAsia="仿宋" w:hAnsi="仿宋" w:cs="仿宋"/>
          <w:shd w:val="clear" w:color="auto" w:fill="FFFFFF"/>
        </w:rPr>
      </w:pPr>
    </w:p>
    <w:p w14:paraId="36F31597" w14:textId="77777777" w:rsidR="00031F27" w:rsidRPr="000D0263" w:rsidRDefault="00031F27">
      <w:pPr>
        <w:pStyle w:val="a5"/>
        <w:widowControl/>
        <w:spacing w:beforeAutospacing="0" w:afterAutospacing="0" w:line="240" w:lineRule="atLeast"/>
        <w:ind w:firstLine="420"/>
        <w:rPr>
          <w:rFonts w:ascii="仿宋" w:eastAsia="仿宋" w:hAnsi="仿宋" w:cs="仿宋"/>
          <w:shd w:val="clear" w:color="auto" w:fill="FFFFFF"/>
        </w:rPr>
      </w:pPr>
    </w:p>
    <w:p w14:paraId="26901075" w14:textId="77777777" w:rsidR="00031F27" w:rsidRPr="000D0263" w:rsidRDefault="00031F27">
      <w:pPr>
        <w:pStyle w:val="a5"/>
        <w:widowControl/>
        <w:spacing w:beforeAutospacing="0" w:afterAutospacing="0" w:line="240" w:lineRule="atLeast"/>
        <w:ind w:firstLine="420"/>
        <w:rPr>
          <w:rFonts w:ascii="仿宋" w:eastAsia="仿宋" w:hAnsi="仿宋" w:cs="仿宋"/>
          <w:shd w:val="clear" w:color="auto" w:fill="FFFFFF"/>
        </w:rPr>
      </w:pPr>
    </w:p>
    <w:p w14:paraId="7FD420BB" w14:textId="77777777" w:rsidR="00031F27" w:rsidRPr="000D0263" w:rsidRDefault="0063570B">
      <w:pPr>
        <w:pStyle w:val="a5"/>
        <w:widowControl/>
        <w:spacing w:beforeAutospacing="0" w:afterAutospacing="0"/>
        <w:jc w:val="center"/>
        <w:rPr>
          <w:rFonts w:ascii="Arial" w:hAnsi="Arial" w:cs="Arial"/>
          <w:b/>
          <w:bCs/>
          <w:color w:val="222222"/>
          <w:shd w:val="clear" w:color="auto" w:fill="FFFFFF"/>
        </w:rPr>
      </w:pPr>
      <w:r w:rsidRPr="000D0263">
        <w:rPr>
          <w:rFonts w:ascii="Arial" w:hAnsi="Arial" w:cs="Arial"/>
          <w:b/>
          <w:bCs/>
          <w:color w:val="222222"/>
          <w:shd w:val="clear" w:color="auto" w:fill="FFFFFF"/>
        </w:rPr>
        <w:t>《中华人民共和国科学技术进步法》</w:t>
      </w:r>
      <w:r w:rsidRPr="000D0263">
        <w:rPr>
          <w:rFonts w:ascii="Arial" w:hAnsi="Arial" w:cs="Arial" w:hint="eastAsia"/>
          <w:b/>
          <w:bCs/>
          <w:color w:val="222222"/>
          <w:shd w:val="clear" w:color="auto" w:fill="FFFFFF"/>
        </w:rPr>
        <w:t>（精选）</w:t>
      </w:r>
    </w:p>
    <w:p w14:paraId="07F8AA09" w14:textId="77777777" w:rsidR="00031F27" w:rsidRPr="000D0263" w:rsidRDefault="0063570B">
      <w:pPr>
        <w:pStyle w:val="a5"/>
        <w:widowControl/>
        <w:spacing w:beforeAutospacing="0" w:afterAutospacing="0"/>
        <w:ind w:firstLineChars="237" w:firstLine="569"/>
        <w:rPr>
          <w:rFonts w:ascii="Arial" w:hAnsi="Arial" w:cs="Arial"/>
          <w:color w:val="222222"/>
          <w:shd w:val="clear" w:color="auto" w:fill="FFFFFF"/>
        </w:rPr>
      </w:pPr>
      <w:r w:rsidRPr="000D0263">
        <w:rPr>
          <w:rFonts w:ascii="Arial" w:hAnsi="Arial" w:cs="Arial"/>
          <w:color w:val="222222"/>
          <w:shd w:val="clear" w:color="auto" w:fill="FFFFFF"/>
        </w:rPr>
        <w:t>《中华人民共和国科学技术进步法》已由中华人民共和国第十三届全国人民代表大会常务委员会第三十二次会议于</w:t>
      </w:r>
      <w:r w:rsidRPr="000D0263">
        <w:rPr>
          <w:rFonts w:ascii="Arial" w:hAnsi="Arial" w:cs="Arial"/>
          <w:color w:val="222222"/>
          <w:shd w:val="clear" w:color="auto" w:fill="FFFFFF"/>
        </w:rPr>
        <w:t>2021</w:t>
      </w:r>
      <w:r w:rsidRPr="000D0263">
        <w:rPr>
          <w:rFonts w:ascii="Arial" w:hAnsi="Arial" w:cs="Arial"/>
          <w:color w:val="222222"/>
          <w:shd w:val="clear" w:color="auto" w:fill="FFFFFF"/>
        </w:rPr>
        <w:t>年</w:t>
      </w:r>
      <w:r w:rsidRPr="000D0263">
        <w:rPr>
          <w:rFonts w:ascii="Arial" w:hAnsi="Arial" w:cs="Arial"/>
          <w:color w:val="222222"/>
          <w:shd w:val="clear" w:color="auto" w:fill="FFFFFF"/>
        </w:rPr>
        <w:t>12</w:t>
      </w:r>
      <w:r w:rsidRPr="000D0263">
        <w:rPr>
          <w:rFonts w:ascii="Arial" w:hAnsi="Arial" w:cs="Arial"/>
          <w:color w:val="222222"/>
          <w:shd w:val="clear" w:color="auto" w:fill="FFFFFF"/>
        </w:rPr>
        <w:t>月</w:t>
      </w:r>
      <w:r w:rsidRPr="000D0263">
        <w:rPr>
          <w:rFonts w:ascii="Arial" w:hAnsi="Arial" w:cs="Arial"/>
          <w:color w:val="222222"/>
          <w:shd w:val="clear" w:color="auto" w:fill="FFFFFF"/>
        </w:rPr>
        <w:t>24</w:t>
      </w:r>
      <w:r w:rsidRPr="000D0263">
        <w:rPr>
          <w:rFonts w:ascii="Arial" w:hAnsi="Arial" w:cs="Arial"/>
          <w:color w:val="222222"/>
          <w:shd w:val="clear" w:color="auto" w:fill="FFFFFF"/>
        </w:rPr>
        <w:t>日修订通过，现予公布，自</w:t>
      </w:r>
      <w:r w:rsidRPr="000D0263">
        <w:rPr>
          <w:rFonts w:ascii="Arial" w:hAnsi="Arial" w:cs="Arial"/>
          <w:color w:val="222222"/>
          <w:shd w:val="clear" w:color="auto" w:fill="FFFFFF"/>
        </w:rPr>
        <w:t>2022</w:t>
      </w:r>
      <w:r w:rsidRPr="000D0263">
        <w:rPr>
          <w:rFonts w:ascii="Arial" w:hAnsi="Arial" w:cs="Arial"/>
          <w:color w:val="222222"/>
          <w:shd w:val="clear" w:color="auto" w:fill="FFFFFF"/>
        </w:rPr>
        <w:t>年</w:t>
      </w:r>
      <w:r w:rsidRPr="000D0263">
        <w:rPr>
          <w:rFonts w:ascii="Arial" w:hAnsi="Arial" w:cs="Arial"/>
          <w:color w:val="222222"/>
          <w:shd w:val="clear" w:color="auto" w:fill="FFFFFF"/>
        </w:rPr>
        <w:t>1</w:t>
      </w:r>
      <w:r w:rsidRPr="000D0263">
        <w:rPr>
          <w:rFonts w:ascii="Arial" w:hAnsi="Arial" w:cs="Arial"/>
          <w:color w:val="222222"/>
          <w:shd w:val="clear" w:color="auto" w:fill="FFFFFF"/>
        </w:rPr>
        <w:t>月</w:t>
      </w:r>
      <w:r w:rsidRPr="000D0263">
        <w:rPr>
          <w:rFonts w:ascii="Arial" w:hAnsi="Arial" w:cs="Arial"/>
          <w:color w:val="222222"/>
          <w:shd w:val="clear" w:color="auto" w:fill="FFFFFF"/>
        </w:rPr>
        <w:t>1</w:t>
      </w:r>
      <w:r w:rsidRPr="000D0263">
        <w:rPr>
          <w:rFonts w:ascii="Arial" w:hAnsi="Arial" w:cs="Arial"/>
          <w:color w:val="222222"/>
          <w:shd w:val="clear" w:color="auto" w:fill="FFFFFF"/>
        </w:rPr>
        <w:t>日起施行。</w:t>
      </w:r>
    </w:p>
    <w:p w14:paraId="699FD7BC" w14:textId="77777777" w:rsidR="00031F27" w:rsidRPr="000D0263" w:rsidRDefault="0063570B">
      <w:pPr>
        <w:pStyle w:val="a5"/>
        <w:widowControl/>
        <w:spacing w:beforeAutospacing="0" w:afterAutospacing="0"/>
        <w:ind w:firstLineChars="237" w:firstLine="569"/>
        <w:rPr>
          <w:rFonts w:ascii="Arial" w:hAnsi="Arial" w:cs="Arial"/>
          <w:color w:val="222222"/>
          <w:shd w:val="clear" w:color="auto" w:fill="FFFFFF"/>
        </w:rPr>
      </w:pPr>
      <w:r w:rsidRPr="000D0263">
        <w:rPr>
          <w:rFonts w:ascii="Arial" w:hAnsi="Arial" w:cs="Arial"/>
          <w:color w:val="222222"/>
          <w:shd w:val="clear" w:color="auto" w:fill="FFFFFF"/>
        </w:rPr>
        <w:t>第一章</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总</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则</w:t>
      </w:r>
    </w:p>
    <w:p w14:paraId="3424378A" w14:textId="77777777" w:rsidR="00031F27" w:rsidRPr="000D0263" w:rsidRDefault="0063570B">
      <w:pPr>
        <w:pStyle w:val="a5"/>
        <w:widowControl/>
        <w:spacing w:beforeAutospacing="0" w:afterAutospacing="0"/>
        <w:ind w:firstLineChars="237" w:firstLine="569"/>
        <w:rPr>
          <w:rFonts w:ascii="Arial" w:hAnsi="Arial" w:cs="Arial"/>
          <w:color w:val="222222"/>
          <w:shd w:val="clear" w:color="auto" w:fill="FFFFFF"/>
        </w:rPr>
      </w:pPr>
      <w:r w:rsidRPr="000D0263">
        <w:rPr>
          <w:rFonts w:ascii="Arial" w:hAnsi="Arial" w:cs="Arial"/>
          <w:color w:val="222222"/>
          <w:shd w:val="clear" w:color="auto" w:fill="FFFFFF"/>
        </w:rPr>
        <w:t>第一条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为了全面促进科学技术进步，发挥科学技术第一生产力、创新第一动力、人才第一资源的作用，促进科技成果向现实生产力转化，推动科技创新支撑和引领经济社会发展，全面建设社会主义现代化国家，根据宪法，制定本法。</w:t>
      </w:r>
    </w:p>
    <w:p w14:paraId="6C7386B7" w14:textId="77777777" w:rsidR="00031F27" w:rsidRPr="000D0263" w:rsidRDefault="0063570B">
      <w:pPr>
        <w:pStyle w:val="a5"/>
        <w:widowControl/>
        <w:spacing w:beforeAutospacing="0" w:afterAutospacing="0"/>
        <w:ind w:firstLineChars="237" w:firstLine="569"/>
        <w:rPr>
          <w:rFonts w:ascii="Arial" w:hAnsi="Arial" w:cs="Arial"/>
          <w:color w:val="222222"/>
          <w:shd w:val="clear" w:color="auto" w:fill="FFFFFF"/>
        </w:rPr>
      </w:pPr>
      <w:r w:rsidRPr="000D0263">
        <w:rPr>
          <w:rFonts w:ascii="Arial" w:hAnsi="Arial" w:cs="Arial"/>
          <w:color w:val="222222"/>
          <w:shd w:val="clear" w:color="auto" w:fill="FFFFFF"/>
        </w:rPr>
        <w:t>第二条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坚持中国共产党对科学技术事业的全面领导。</w:t>
      </w:r>
    </w:p>
    <w:p w14:paraId="270415AA"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第三条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科学技术进步工作应当面向世界科技前沿、面向经济主战场、面向国家重大需求、面向人民生命健康，为促进经济社会发展、维护国家安全和推动人类可持续发展服务。</w:t>
      </w:r>
    </w:p>
    <w:p w14:paraId="62BFE5E9"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第六条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国家鼓励科学技术研究开发与高等教育、产业发展相结合，鼓励学科交叉融合和相互促进。</w:t>
      </w:r>
    </w:p>
    <w:p w14:paraId="76E3FC99"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第七条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国家遵</w:t>
      </w:r>
      <w:r w:rsidRPr="000D0263">
        <w:rPr>
          <w:rFonts w:ascii="Arial" w:hAnsi="Arial" w:cs="Arial"/>
          <w:color w:val="222222"/>
          <w:shd w:val="clear" w:color="auto" w:fill="FFFFFF"/>
        </w:rPr>
        <w:t>循科学技术活动服务国家目标与鼓励自由探索相结合的原则，超前部署重大基础研究、有重大产业应用前景的前沿技术研究和社会公益性技术研究，支持基础研究、前沿技术研究和社会公益性技术研究持续、稳定发展，加强原始创新和关键核心技术攻关，加快实现高水平科技自立自强。</w:t>
      </w:r>
    </w:p>
    <w:p w14:paraId="235E7B6F"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第九条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学校及其他教育机构应当坚持理论联系实际，注重培养受教育者的独立思考能力、实践能力、创新能力和批判性思维，以及追求真理、崇尚创新、实事求是的科学精神。</w:t>
      </w:r>
    </w:p>
    <w:p w14:paraId="7AB222EB"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鼓励高等学校开展科学研究、技术开发和社会服务，培养具有社会责任感、创新精神和实践能力的高级专门人才。</w:t>
      </w:r>
    </w:p>
    <w:p w14:paraId="1EF28A28"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第十条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科学技术人员是社会主义现代化建设事业的重要人才力量，应当受到全社会的尊重。</w:t>
      </w:r>
    </w:p>
    <w:p w14:paraId="59AAF2E0"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第十二条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科学技术普及是全社会的共同责任。国家建立健全科学技术普及激励机制，鼓励科学技术研究开发机构、高等学校、企业事业单位、社会组织、科学技术人员等积极参与和支持科学技术普及</w:t>
      </w:r>
      <w:r w:rsidRPr="000D0263">
        <w:rPr>
          <w:rFonts w:ascii="Arial" w:hAnsi="Arial" w:cs="Arial"/>
          <w:color w:val="222222"/>
          <w:shd w:val="clear" w:color="auto" w:fill="FFFFFF"/>
        </w:rPr>
        <w:t>活动。</w:t>
      </w:r>
    </w:p>
    <w:p w14:paraId="0E346D1F"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第十三条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企业事业单位、社会组织和科学技术人员应当增强知识产权意识，增强自主创新能力，提高创造、运用、保护、管理和服务知识产权的能力，提高知识产权质量。</w:t>
      </w:r>
    </w:p>
    <w:p w14:paraId="0C4AE767"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第十四条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国家建立和完善有利于创新的科学技术评价制度。</w:t>
      </w:r>
    </w:p>
    <w:p w14:paraId="309C032E"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lastRenderedPageBreak/>
        <w:t>科学技术评价应当坚持公开、公平、公正的原则，以科技创新质量、贡献、绩效为导向，根据不同科学技术活动的特点，实行分类评价。</w:t>
      </w:r>
    </w:p>
    <w:p w14:paraId="6C32CE5B"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第十八条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每年</w:t>
      </w:r>
      <w:r w:rsidRPr="000D0263">
        <w:rPr>
          <w:rFonts w:ascii="Arial" w:hAnsi="Arial" w:cs="Arial"/>
          <w:color w:val="222222"/>
          <w:shd w:val="clear" w:color="auto" w:fill="FFFFFF"/>
        </w:rPr>
        <w:t>5</w:t>
      </w:r>
      <w:r w:rsidRPr="000D0263">
        <w:rPr>
          <w:rFonts w:ascii="Arial" w:hAnsi="Arial" w:cs="Arial"/>
          <w:color w:val="222222"/>
          <w:shd w:val="clear" w:color="auto" w:fill="FFFFFF"/>
        </w:rPr>
        <w:t>月</w:t>
      </w:r>
      <w:r w:rsidRPr="000D0263">
        <w:rPr>
          <w:rFonts w:ascii="Arial" w:hAnsi="Arial" w:cs="Arial"/>
          <w:color w:val="222222"/>
          <w:shd w:val="clear" w:color="auto" w:fill="FFFFFF"/>
        </w:rPr>
        <w:t>30</w:t>
      </w:r>
      <w:r w:rsidRPr="000D0263">
        <w:rPr>
          <w:rFonts w:ascii="Arial" w:hAnsi="Arial" w:cs="Arial"/>
          <w:color w:val="222222"/>
          <w:shd w:val="clear" w:color="auto" w:fill="FFFFFF"/>
        </w:rPr>
        <w:t>日为全国科技工作者日。</w:t>
      </w:r>
    </w:p>
    <w:p w14:paraId="7423604F"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第二章</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基础研究</w:t>
      </w:r>
    </w:p>
    <w:p w14:paraId="0C329C3B"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第十九条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国家鼓励科学技术研究开发机构、高等学校、企业等发挥自身优势，加强基础研究，推动原始创新。</w:t>
      </w:r>
    </w:p>
    <w:p w14:paraId="0CA03BB5"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第二十二</w:t>
      </w:r>
      <w:r w:rsidRPr="000D0263">
        <w:rPr>
          <w:rFonts w:ascii="Arial" w:hAnsi="Arial" w:cs="Arial"/>
          <w:color w:val="222222"/>
          <w:shd w:val="clear" w:color="auto" w:fill="FFFFFF"/>
        </w:rPr>
        <w:t>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国家完善学科布局和知识体系建设，推进学科交叉融合，促进基础研究与应用研究协调发展。</w:t>
      </w:r>
    </w:p>
    <w:p w14:paraId="7A1F5209"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第二十四条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国家强化基础研究基地建设。</w:t>
      </w:r>
    </w:p>
    <w:p w14:paraId="1E9B27D2"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国家完善基础研究的基础条件建设，推进开放共享。</w:t>
      </w:r>
    </w:p>
    <w:p w14:paraId="41536334"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第二十五条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国家支持高等学校加强基础学科建设和基础研究人才培养，增强基础研究自主布局能力，推动高等学校基础研究高质量发展。</w:t>
      </w:r>
    </w:p>
    <w:p w14:paraId="37119968"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第三章</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应用研究与成果转化</w:t>
      </w:r>
    </w:p>
    <w:p w14:paraId="39370A9E"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第二十六条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国家鼓励以应用研究带动基础研究，促进基础研究与应用研究、成果转化融通发展。</w:t>
      </w:r>
    </w:p>
    <w:p w14:paraId="0F9F0F17"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国家完善共性基础技术供给体系，促进创新</w:t>
      </w:r>
      <w:proofErr w:type="gramStart"/>
      <w:r w:rsidRPr="000D0263">
        <w:rPr>
          <w:rFonts w:ascii="Arial" w:hAnsi="Arial" w:cs="Arial"/>
          <w:color w:val="222222"/>
          <w:shd w:val="clear" w:color="auto" w:fill="FFFFFF"/>
        </w:rPr>
        <w:t>链产业</w:t>
      </w:r>
      <w:proofErr w:type="gramEnd"/>
      <w:r w:rsidRPr="000D0263">
        <w:rPr>
          <w:rFonts w:ascii="Arial" w:hAnsi="Arial" w:cs="Arial"/>
          <w:color w:val="222222"/>
          <w:shd w:val="clear" w:color="auto" w:fill="FFFFFF"/>
        </w:rPr>
        <w:t>链深度融合，保障产业</w:t>
      </w:r>
      <w:proofErr w:type="gramStart"/>
      <w:r w:rsidRPr="000D0263">
        <w:rPr>
          <w:rFonts w:ascii="Arial" w:hAnsi="Arial" w:cs="Arial"/>
          <w:color w:val="222222"/>
          <w:shd w:val="clear" w:color="auto" w:fill="FFFFFF"/>
        </w:rPr>
        <w:t>链供应</w:t>
      </w:r>
      <w:proofErr w:type="gramEnd"/>
      <w:r w:rsidRPr="000D0263">
        <w:rPr>
          <w:rFonts w:ascii="Arial" w:hAnsi="Arial" w:cs="Arial"/>
          <w:color w:val="222222"/>
          <w:shd w:val="clear" w:color="auto" w:fill="FFFFFF"/>
        </w:rPr>
        <w:t>链安全。</w:t>
      </w:r>
    </w:p>
    <w:p w14:paraId="6412A7F7"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第二十七条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国家</w:t>
      </w:r>
      <w:r w:rsidRPr="000D0263">
        <w:rPr>
          <w:rFonts w:ascii="Arial" w:hAnsi="Arial" w:cs="Arial"/>
          <w:color w:val="222222"/>
          <w:shd w:val="clear" w:color="auto" w:fill="FFFFFF"/>
        </w:rPr>
        <w:t>建立和完善科研攻关协调机制，围绕经济社会发展、国家安全重大需求和人民生命健康，加强重点领域项目、人才、基地、资金一体化配置，推动产学研紧密合作，推动关键核心技术自主可控。</w:t>
      </w:r>
    </w:p>
    <w:p w14:paraId="3AC29AED"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第二十九条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国家鼓励科学技术研究开发机构、高等学校加强共性基础技术研究，鼓励以企业为主导，开展面向市场和产业化应用的研究开发活动。</w:t>
      </w:r>
    </w:p>
    <w:p w14:paraId="56BE5B06"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第三十条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国家加强科技成果中试、工程化和产业化开发及应用，加快科技成果转化为现实生产力。</w:t>
      </w:r>
    </w:p>
    <w:p w14:paraId="5FB6E8B8"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利用财政性资金设立的科学技术研究开发机构和高等学校，应当积极促进科技成果转化，加强技术转移机构和人才队伍建设，建立和完</w:t>
      </w:r>
      <w:r w:rsidRPr="000D0263">
        <w:rPr>
          <w:rFonts w:ascii="Arial" w:hAnsi="Arial" w:cs="Arial"/>
          <w:color w:val="222222"/>
          <w:shd w:val="clear" w:color="auto" w:fill="FFFFFF"/>
        </w:rPr>
        <w:t>善促进科技成果转化制度。</w:t>
      </w:r>
    </w:p>
    <w:p w14:paraId="070AB822"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第三十一条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国家鼓励企业、科学技术研究开发机构、高等学校和其他组织建立优势互补、分工明确、成果共享、风险共担的合作机制，按照市场机制联合组建研究开发平台、技术创新联盟、创新联合体等，协同推进研究开发与科技成果转化，提高科技成果转移转化成效。</w:t>
      </w:r>
    </w:p>
    <w:p w14:paraId="4146A94C"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第三十二条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利用财政性资金设立的科学技术计划项目所形成的科技成果，在不损害国家安全、国家利益和重大社会公共利益的前提下，授权项目承担者依法取得相关知识产权，项目承担者可以依法自行投资实施转化、向他人转让、联合他人共同实施转化、许可他人使用或者作</w:t>
      </w:r>
      <w:r w:rsidRPr="000D0263">
        <w:rPr>
          <w:rFonts w:ascii="Arial" w:hAnsi="Arial" w:cs="Arial"/>
          <w:color w:val="222222"/>
          <w:shd w:val="clear" w:color="auto" w:fill="FFFFFF"/>
        </w:rPr>
        <w:t>价投资等。</w:t>
      </w:r>
    </w:p>
    <w:p w14:paraId="4ED9A43F"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项目承担者应当依法实施前款规定的知识产权，同时采取保护措施，并就实施和保护情况向项目管理机构提交年度报告；在合理期限内没有实施且无正当理由的，国家可以无偿实施，也可以许可他人有偿实施或者无偿实施。</w:t>
      </w:r>
    </w:p>
    <w:p w14:paraId="0E7EE459"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项目承担者依法取得的本条第一款规定的知识产权，为了国家安全、国家利益和重大社会公共利益的需要，国家可以无偿实施，也可以许可他人有偿实施或者无偿实施。</w:t>
      </w:r>
    </w:p>
    <w:p w14:paraId="350AED8B"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项目承担者因实施本条第一款规定的知识产权所产生的利益分配，依照有关法律法规规定执行；法律法规没有规定的，按照约定执行。</w:t>
      </w:r>
    </w:p>
    <w:p w14:paraId="7F47C4B6"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lastRenderedPageBreak/>
        <w:t>第三十三条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国家实行以增加知识价</w:t>
      </w:r>
      <w:r w:rsidRPr="000D0263">
        <w:rPr>
          <w:rFonts w:ascii="Arial" w:hAnsi="Arial" w:cs="Arial"/>
          <w:color w:val="222222"/>
          <w:shd w:val="clear" w:color="auto" w:fill="FFFFFF"/>
        </w:rPr>
        <w:t>值为导向的分配政策，按照国家有关规定推进知识产权归属和权益分配机制改革，探索赋予科学技术人员职务科技成果所有权或者长期使用权制度。</w:t>
      </w:r>
    </w:p>
    <w:p w14:paraId="7F526470"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第三十五条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国家鼓励新技术应用，按照包容审慎原则，推动开展新技术、新产品、新服务、新模式应用试验，为新技术、新产品应用创造条件。</w:t>
      </w:r>
    </w:p>
    <w:p w14:paraId="16E4134D"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第三十六条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国家鼓励和支持农业科学技术的应用研究，传播和普及农业科学技术知识，加快农业科技成果转化和产业化，促进农业科学技术进步，利用农业科学技术引领乡村振兴和农业农村现代化。</w:t>
      </w:r>
    </w:p>
    <w:p w14:paraId="46C53921"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第三十七条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国家推动科学技术研究开发与产品、服务标准制定相结合，科学技术研究开发与产品设计、制造相结合；引导科学技术研究开发机构、高等学校、企业和社会组织共同推进国家重大技术创新产品、服务标准的研究、制定和依法采用，参与国际标准制定。</w:t>
      </w:r>
    </w:p>
    <w:p w14:paraId="172D7DC2"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第三十八条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国家培育和发展统一开放、互联互通、竞争有序的技术市场，鼓励创办从事技术评估、技术经纪和创新创业服务</w:t>
      </w:r>
      <w:r w:rsidRPr="000D0263">
        <w:rPr>
          <w:rFonts w:ascii="Arial" w:hAnsi="Arial" w:cs="Arial"/>
          <w:color w:val="222222"/>
          <w:shd w:val="clear" w:color="auto" w:fill="FFFFFF"/>
        </w:rPr>
        <w:t>等活动的中介服务机构，引导建立社会化、专业化、网络化、信息化和智能化的技术交易服务体系和创新创业服务体系，推动科技成果的应用和推广。</w:t>
      </w:r>
    </w:p>
    <w:p w14:paraId="473E3BFD"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技术交易活动应当遵循自愿平等、互利有偿和诚实信用的原则。</w:t>
      </w:r>
    </w:p>
    <w:p w14:paraId="399041CF"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第四章</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企业科技创新</w:t>
      </w:r>
    </w:p>
    <w:p w14:paraId="6E39876D" w14:textId="77777777" w:rsidR="00031F27" w:rsidRPr="000D0263" w:rsidRDefault="0063570B">
      <w:pPr>
        <w:pStyle w:val="a5"/>
        <w:widowControl/>
        <w:spacing w:beforeAutospacing="0" w:afterAutospacing="0"/>
        <w:ind w:firstLineChars="237" w:firstLine="569"/>
        <w:rPr>
          <w:rFonts w:ascii="Arial" w:hAnsi="Arial" w:cs="Arial"/>
          <w:color w:val="222222"/>
          <w:shd w:val="clear" w:color="auto" w:fill="FFFFFF"/>
        </w:rPr>
      </w:pPr>
      <w:r w:rsidRPr="000D0263">
        <w:rPr>
          <w:rFonts w:ascii="Arial" w:hAnsi="Arial" w:cs="Arial"/>
          <w:color w:val="222222"/>
          <w:shd w:val="clear" w:color="auto" w:fill="FFFFFF"/>
        </w:rPr>
        <w:t>第三十九条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国家建立以企业为主体，以市场为导向，企业同科学技术研究开发机构、高等学校紧密合作的技术创新体系。</w:t>
      </w:r>
    </w:p>
    <w:p w14:paraId="300D49A6"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第五章</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科学技术研究开发机构</w:t>
      </w:r>
    </w:p>
    <w:p w14:paraId="08CF3242"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第四十九条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自然人、法人和非法人组织有权依法设立科学技术研究开发机构。境外的组织或者个人可以在中国境内依法独立设立科学技术研究开发机构，也可以与中国境内的组织或者个人联合设立科学技术研究开发机构。</w:t>
      </w:r>
    </w:p>
    <w:p w14:paraId="0FC7D65C"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第五十条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科学技术研究开发机构享有下列权利：</w:t>
      </w:r>
    </w:p>
    <w:p w14:paraId="00774CBC"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w:t>
      </w:r>
      <w:proofErr w:type="gramStart"/>
      <w:r w:rsidRPr="000D0263">
        <w:rPr>
          <w:rFonts w:ascii="Arial" w:hAnsi="Arial" w:cs="Arial"/>
          <w:color w:val="222222"/>
          <w:shd w:val="clear" w:color="auto" w:fill="FFFFFF"/>
        </w:rPr>
        <w:t>一</w:t>
      </w:r>
      <w:proofErr w:type="gramEnd"/>
      <w:r w:rsidRPr="000D0263">
        <w:rPr>
          <w:rFonts w:ascii="Arial" w:hAnsi="Arial" w:cs="Arial"/>
          <w:color w:val="222222"/>
          <w:shd w:val="clear" w:color="auto" w:fill="FFFFFF"/>
        </w:rPr>
        <w:t>)</w:t>
      </w:r>
      <w:r w:rsidRPr="000D0263">
        <w:rPr>
          <w:rFonts w:ascii="Arial" w:hAnsi="Arial" w:cs="Arial"/>
          <w:color w:val="222222"/>
          <w:shd w:val="clear" w:color="auto" w:fill="FFFFFF"/>
        </w:rPr>
        <w:t>依法组织或者参加学术活动；</w:t>
      </w:r>
    </w:p>
    <w:p w14:paraId="7BC77C72"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w:t>
      </w:r>
      <w:r w:rsidRPr="000D0263">
        <w:rPr>
          <w:rFonts w:ascii="Arial" w:hAnsi="Arial" w:cs="Arial"/>
          <w:color w:val="222222"/>
          <w:shd w:val="clear" w:color="auto" w:fill="FFFFFF"/>
        </w:rPr>
        <w:t>二</w:t>
      </w:r>
      <w:r w:rsidRPr="000D0263">
        <w:rPr>
          <w:rFonts w:ascii="Arial" w:hAnsi="Arial" w:cs="Arial"/>
          <w:color w:val="222222"/>
          <w:shd w:val="clear" w:color="auto" w:fill="FFFFFF"/>
        </w:rPr>
        <w:t>)</w:t>
      </w:r>
      <w:r w:rsidRPr="000D0263">
        <w:rPr>
          <w:rFonts w:ascii="Arial" w:hAnsi="Arial" w:cs="Arial"/>
          <w:color w:val="222222"/>
          <w:shd w:val="clear" w:color="auto" w:fill="FFFFFF"/>
        </w:rPr>
        <w:t>按照国家有关规定，自主确定科学技术研究开发方向和项目，自主决定经费使用、机构设置、绩效考核及薪酬分配、职称评审、科技成果转化及收益分配、岗位设置、人员聘用及合理流动等内部管理事务；</w:t>
      </w:r>
    </w:p>
    <w:p w14:paraId="2EFE0B71"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w:t>
      </w:r>
      <w:r w:rsidRPr="000D0263">
        <w:rPr>
          <w:rFonts w:ascii="Arial" w:hAnsi="Arial" w:cs="Arial"/>
          <w:color w:val="222222"/>
          <w:shd w:val="clear" w:color="auto" w:fill="FFFFFF"/>
        </w:rPr>
        <w:t>三</w:t>
      </w:r>
      <w:r w:rsidRPr="000D0263">
        <w:rPr>
          <w:rFonts w:ascii="Arial" w:hAnsi="Arial" w:cs="Arial"/>
          <w:color w:val="222222"/>
          <w:shd w:val="clear" w:color="auto" w:fill="FFFFFF"/>
        </w:rPr>
        <w:t>)</w:t>
      </w:r>
      <w:r w:rsidRPr="000D0263">
        <w:rPr>
          <w:rFonts w:ascii="Arial" w:hAnsi="Arial" w:cs="Arial"/>
          <w:color w:val="222222"/>
          <w:shd w:val="clear" w:color="auto" w:fill="FFFFFF"/>
        </w:rPr>
        <w:t>与其他科学技术研究开发机构、高等学校和企业联合开展科</w:t>
      </w:r>
      <w:r w:rsidRPr="000D0263">
        <w:rPr>
          <w:rFonts w:ascii="Arial" w:hAnsi="Arial" w:cs="Arial"/>
          <w:color w:val="222222"/>
          <w:shd w:val="clear" w:color="auto" w:fill="FFFFFF"/>
        </w:rPr>
        <w:t>学技术研究开发、技术咨询、技术服务等活动；</w:t>
      </w:r>
    </w:p>
    <w:p w14:paraId="6309ADF6"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五</w:t>
      </w:r>
      <w:r w:rsidRPr="000D0263">
        <w:rPr>
          <w:rFonts w:ascii="Arial" w:hAnsi="Arial" w:cs="Arial"/>
          <w:color w:val="222222"/>
          <w:shd w:val="clear" w:color="auto" w:fill="FFFFFF"/>
        </w:rPr>
        <w:t>)</w:t>
      </w:r>
      <w:r w:rsidRPr="000D0263">
        <w:rPr>
          <w:rFonts w:ascii="Arial" w:hAnsi="Arial" w:cs="Arial"/>
          <w:color w:val="222222"/>
          <w:shd w:val="clear" w:color="auto" w:fill="FFFFFF"/>
        </w:rPr>
        <w:t>法律、行政法规规定的其他权利。</w:t>
      </w:r>
    </w:p>
    <w:p w14:paraId="0563B440"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第五十二条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利用财政性资金设立的科学技术研究开发机构，应当建立职责明确、评价科学、开放有序、管理规范的现代院所制度，实行院长或者所长负责制，建立科学技术委员会咨询制和职工代表大会监督制等制度，并吸收外部专家参与管理、接受社会监督；院长或者所长的聘用引入竞争机制。</w:t>
      </w:r>
    </w:p>
    <w:p w14:paraId="5D06B4B8"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第五十四条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利用财政性资金设立的科学技术研究开发机构，应当建立健全科学技术资源开放共享机制，促进科学技术资源的有效利用。</w:t>
      </w:r>
    </w:p>
    <w:p w14:paraId="654FDCE5"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第六章</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科学技术人员</w:t>
      </w:r>
    </w:p>
    <w:p w14:paraId="43DA262B"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第五十八条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国家加快</w:t>
      </w:r>
      <w:r w:rsidRPr="000D0263">
        <w:rPr>
          <w:rFonts w:ascii="Arial" w:hAnsi="Arial" w:cs="Arial"/>
          <w:color w:val="222222"/>
          <w:shd w:val="clear" w:color="auto" w:fill="FFFFFF"/>
        </w:rPr>
        <w:t>战略人才力量建设，优化科学技术人才队伍结构，完善战略科学家、科技领军人才等创新人才和团队的培养、发现、引进、使用、评价机制，实施人才梯队、科研条件、管理机制等配套政策。</w:t>
      </w:r>
    </w:p>
    <w:p w14:paraId="22F70575"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lastRenderedPageBreak/>
        <w:t>第五十九条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国家完善创新人才教育培养机制，在基础教育中加强科学兴趣培养，在职业教育中加强技术技能人才培养，强化高等教育资源配置与科学技术领域创新人才培养的结合，加强完善战略性科学技术人才储备。</w:t>
      </w:r>
    </w:p>
    <w:p w14:paraId="79991811"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第六十条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各级人民政府、企业事业单位和社会组织应当采取措施，完善体现知识、技术等创新要素价值的收益分配机制，优化收入结构，建立工资稳定增长机制，提高</w:t>
      </w:r>
      <w:r w:rsidRPr="000D0263">
        <w:rPr>
          <w:rFonts w:ascii="Arial" w:hAnsi="Arial" w:cs="Arial"/>
          <w:color w:val="222222"/>
          <w:shd w:val="clear" w:color="auto" w:fill="FFFFFF"/>
        </w:rPr>
        <w:t>科学技术人员的工资水平；对有突出贡献的科学技术人员给予优厚待遇和荣誉激励。</w:t>
      </w:r>
    </w:p>
    <w:p w14:paraId="013D37B8"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利用财政性资金设立的科学技术研究开发机构和高等学校的科学技术人员，在履行岗位职责、完成本职工作、不发生利益冲突的前提下，经所在单位同意，可以从事兼职工作获得合法收入。技术开发、技术咨询、技术服务等活动的奖酬金提取，按照科技成果转化有关规定执行。</w:t>
      </w:r>
    </w:p>
    <w:p w14:paraId="248F44EB"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国家鼓励科学技术研究开发机构、高等学校、企业等采取股权、期权、分红等方式激励科学技术人员。</w:t>
      </w:r>
    </w:p>
    <w:p w14:paraId="2753B242"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第六十一条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各级人民政府和企业事业单位应当保障科学技术人员接受继续教育的权利，并为科学技术人员的合</w:t>
      </w:r>
      <w:r w:rsidRPr="000D0263">
        <w:rPr>
          <w:rFonts w:ascii="Arial" w:hAnsi="Arial" w:cs="Arial"/>
          <w:color w:val="222222"/>
          <w:shd w:val="clear" w:color="auto" w:fill="FFFFFF"/>
        </w:rPr>
        <w:t>理、畅通、有序流动创造环境和条件，发挥其专长。</w:t>
      </w:r>
    </w:p>
    <w:p w14:paraId="50EA4682"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第六十二条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科学技术人员可以根据其学术水平和业务能力选择工作单位、竞聘相应的岗位，取得相应的职务或者职称。</w:t>
      </w:r>
    </w:p>
    <w:p w14:paraId="469FD815"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科学技术人员应当信守工作承诺，履行岗位责任，完成职务或者职称相应工作。</w:t>
      </w:r>
    </w:p>
    <w:p w14:paraId="7D318088"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第六十四条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科学技术行政等有关部门和企业事业单位应当完善科学技术人员管理制度，增强服务意识和保障能力，简化管理流程，避免重复性检查和评估，减轻科学技术人员项目申报、材料报送、经费报销等方面的负担，保障科学技术人员科研时间。</w:t>
      </w:r>
    </w:p>
    <w:p w14:paraId="6F1CD89D"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第六十六条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青年科学技术人员、少数民族科学技术人员、女性科学</w:t>
      </w:r>
      <w:r w:rsidRPr="000D0263">
        <w:rPr>
          <w:rFonts w:ascii="Arial" w:hAnsi="Arial" w:cs="Arial"/>
          <w:color w:val="222222"/>
          <w:shd w:val="clear" w:color="auto" w:fill="FFFFFF"/>
        </w:rPr>
        <w:t>技术人员等在竞聘专业技术职务、参与科学技术评价、承担科学技术研究开发项目、接受继续教育等方面享有平等权利。鼓励老年科学技术人员在科学技术进步中发挥积极作用。</w:t>
      </w:r>
    </w:p>
    <w:p w14:paraId="40AEFEF0"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发现、培养和使用青年科学技术人员的情况，应当作为评价科学技术进步工作的重要内容。</w:t>
      </w:r>
    </w:p>
    <w:p w14:paraId="1477196D"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各级人民政府和企业事业单位应当完善女性科学技术人员培养、评价和激励机制，关心</w:t>
      </w:r>
      <w:proofErr w:type="gramStart"/>
      <w:r w:rsidRPr="000D0263">
        <w:rPr>
          <w:rFonts w:ascii="Arial" w:hAnsi="Arial" w:cs="Arial"/>
          <w:color w:val="222222"/>
          <w:shd w:val="clear" w:color="auto" w:fill="FFFFFF"/>
        </w:rPr>
        <w:t>孕</w:t>
      </w:r>
      <w:proofErr w:type="gramEnd"/>
      <w:r w:rsidRPr="000D0263">
        <w:rPr>
          <w:rFonts w:ascii="Arial" w:hAnsi="Arial" w:cs="Arial"/>
          <w:color w:val="222222"/>
          <w:shd w:val="clear" w:color="auto" w:fill="FFFFFF"/>
        </w:rPr>
        <w:t>哺期女性科学技术人员，鼓励和支持女性科学技术人员在科学技术进步中发挥更大作用。</w:t>
      </w:r>
    </w:p>
    <w:p w14:paraId="38173514"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第六十七条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科学技术人员应当大力弘扬爱国、创新、求实、奉献、协同、育人的科学家精神，坚守工匠精神，在各类科学技术活动中遵守学术和伦理规范，恪守职业道德，诚实守信；不得在科学技术活动中弄虚作假，不得参加、支持迷信活动。</w:t>
      </w:r>
    </w:p>
    <w:p w14:paraId="6D5C08DE"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第六十八条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国家鼓励科学技术人员自由探索、勇于承担风险，营造鼓励创新、宽容失败的良好氛围。原始记录等能够证明承担探索性强、风险高的科学技术研究开发项目的科学技术人员已经履行了勤勉尽责义务仍不能完成该项目的，予以免责。</w:t>
      </w:r>
    </w:p>
    <w:p w14:paraId="7ECD2D39"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第六十九条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科研诚信记录作为对科学技术人员聘任专业技术职务或者职称、审批科学技术人员申请</w:t>
      </w:r>
      <w:r w:rsidRPr="000D0263">
        <w:rPr>
          <w:rFonts w:ascii="Arial" w:hAnsi="Arial" w:cs="Arial"/>
          <w:color w:val="222222"/>
          <w:shd w:val="clear" w:color="auto" w:fill="FFFFFF"/>
        </w:rPr>
        <w:t>科学技术研究开发项目、授予科学技术奖励等的重要依据。</w:t>
      </w:r>
    </w:p>
    <w:p w14:paraId="204CD839"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lastRenderedPageBreak/>
        <w:t>第七十条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科学技术人员有依法创办或者参加科学技术社会团体的权利。</w:t>
      </w:r>
    </w:p>
    <w:p w14:paraId="3F0FC791"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第八章</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国际科学技术合作</w:t>
      </w:r>
    </w:p>
    <w:p w14:paraId="5B67DCBE"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第八十条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国家鼓励科学技术研究开发机构、高等学校、科学技术社会团体、企业和科学技术人员等各</w:t>
      </w:r>
      <w:proofErr w:type="gramStart"/>
      <w:r w:rsidRPr="000D0263">
        <w:rPr>
          <w:rFonts w:ascii="Arial" w:hAnsi="Arial" w:cs="Arial"/>
          <w:color w:val="222222"/>
          <w:shd w:val="clear" w:color="auto" w:fill="FFFFFF"/>
        </w:rPr>
        <w:t>类创新</w:t>
      </w:r>
      <w:proofErr w:type="gramEnd"/>
      <w:r w:rsidRPr="000D0263">
        <w:rPr>
          <w:rFonts w:ascii="Arial" w:hAnsi="Arial" w:cs="Arial"/>
          <w:color w:val="222222"/>
          <w:shd w:val="clear" w:color="auto" w:fill="FFFFFF"/>
        </w:rPr>
        <w:t>主体开展国际科学技术合作与交流，积极参与科学研究活动，促进国际科学技术资源开放流动，形成高水平的科技开放合作格局，推动世界科学技术进步。</w:t>
      </w:r>
    </w:p>
    <w:p w14:paraId="3A8C4169"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第九章</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保障措施</w:t>
      </w:r>
    </w:p>
    <w:p w14:paraId="31B63190"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第九十条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从事下列活动的，按照国家有关规定享受税收优惠：</w:t>
      </w:r>
    </w:p>
    <w:p w14:paraId="359821AD"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w:t>
      </w:r>
      <w:proofErr w:type="gramStart"/>
      <w:r w:rsidRPr="000D0263">
        <w:rPr>
          <w:rFonts w:ascii="Arial" w:hAnsi="Arial" w:cs="Arial"/>
          <w:color w:val="222222"/>
          <w:shd w:val="clear" w:color="auto" w:fill="FFFFFF"/>
        </w:rPr>
        <w:t>一</w:t>
      </w:r>
      <w:proofErr w:type="gramEnd"/>
      <w:r w:rsidRPr="000D0263">
        <w:rPr>
          <w:rFonts w:ascii="Arial" w:hAnsi="Arial" w:cs="Arial"/>
          <w:color w:val="222222"/>
          <w:shd w:val="clear" w:color="auto" w:fill="FFFFFF"/>
        </w:rPr>
        <w:t>)</w:t>
      </w:r>
      <w:r w:rsidRPr="000D0263">
        <w:rPr>
          <w:rFonts w:ascii="Arial" w:hAnsi="Arial" w:cs="Arial"/>
          <w:color w:val="222222"/>
          <w:shd w:val="clear" w:color="auto" w:fill="FFFFFF"/>
        </w:rPr>
        <w:t>技术开发、技术转让、技术许可、技术咨询、技术服务；</w:t>
      </w:r>
    </w:p>
    <w:p w14:paraId="2850C4D0"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w:t>
      </w:r>
      <w:r w:rsidRPr="000D0263">
        <w:rPr>
          <w:rFonts w:ascii="Arial" w:hAnsi="Arial" w:cs="Arial"/>
          <w:color w:val="222222"/>
          <w:shd w:val="clear" w:color="auto" w:fill="FFFFFF"/>
        </w:rPr>
        <w:t>四</w:t>
      </w:r>
      <w:r w:rsidRPr="000D0263">
        <w:rPr>
          <w:rFonts w:ascii="Arial" w:hAnsi="Arial" w:cs="Arial"/>
          <w:color w:val="222222"/>
          <w:shd w:val="clear" w:color="auto" w:fill="FFFFFF"/>
        </w:rPr>
        <w:t>)</w:t>
      </w:r>
      <w:r w:rsidRPr="000D0263">
        <w:rPr>
          <w:rFonts w:ascii="Arial" w:hAnsi="Arial" w:cs="Arial"/>
          <w:color w:val="222222"/>
          <w:shd w:val="clear" w:color="auto" w:fill="FFFFFF"/>
        </w:rPr>
        <w:t>科学技术普及场馆、基地等开展面向公众开放的科学技术普及活动；</w:t>
      </w:r>
    </w:p>
    <w:p w14:paraId="3D9B26AC"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w:t>
      </w:r>
      <w:r w:rsidRPr="000D0263">
        <w:rPr>
          <w:rFonts w:ascii="Arial" w:hAnsi="Arial" w:cs="Arial"/>
          <w:color w:val="222222"/>
          <w:shd w:val="clear" w:color="auto" w:fill="FFFFFF"/>
        </w:rPr>
        <w:t>五</w:t>
      </w:r>
      <w:r w:rsidRPr="000D0263">
        <w:rPr>
          <w:rFonts w:ascii="Arial" w:hAnsi="Arial" w:cs="Arial"/>
          <w:color w:val="222222"/>
          <w:shd w:val="clear" w:color="auto" w:fill="FFFFFF"/>
        </w:rPr>
        <w:t>)</w:t>
      </w:r>
      <w:r w:rsidRPr="000D0263">
        <w:rPr>
          <w:rFonts w:ascii="Arial" w:hAnsi="Arial" w:cs="Arial"/>
          <w:color w:val="222222"/>
          <w:shd w:val="clear" w:color="auto" w:fill="FFFFFF"/>
        </w:rPr>
        <w:t>捐赠资助开展科学技术活动；</w:t>
      </w:r>
    </w:p>
    <w:p w14:paraId="0427566D"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w:t>
      </w:r>
      <w:r w:rsidRPr="000D0263">
        <w:rPr>
          <w:rFonts w:ascii="Arial" w:hAnsi="Arial" w:cs="Arial"/>
          <w:color w:val="222222"/>
          <w:shd w:val="clear" w:color="auto" w:fill="FFFFFF"/>
        </w:rPr>
        <w:t>六</w:t>
      </w:r>
      <w:r w:rsidRPr="000D0263">
        <w:rPr>
          <w:rFonts w:ascii="Arial" w:hAnsi="Arial" w:cs="Arial"/>
          <w:color w:val="222222"/>
          <w:shd w:val="clear" w:color="auto" w:fill="FFFFFF"/>
        </w:rPr>
        <w:t>)</w:t>
      </w:r>
      <w:r w:rsidRPr="000D0263">
        <w:rPr>
          <w:rFonts w:ascii="Arial" w:hAnsi="Arial" w:cs="Arial"/>
          <w:color w:val="222222"/>
          <w:shd w:val="clear" w:color="auto" w:fill="FFFFFF"/>
        </w:rPr>
        <w:t>法律、国家有关</w:t>
      </w:r>
      <w:proofErr w:type="gramStart"/>
      <w:r w:rsidRPr="000D0263">
        <w:rPr>
          <w:rFonts w:ascii="Arial" w:hAnsi="Arial" w:cs="Arial"/>
          <w:color w:val="222222"/>
          <w:shd w:val="clear" w:color="auto" w:fill="FFFFFF"/>
        </w:rPr>
        <w:t>规定规定</w:t>
      </w:r>
      <w:proofErr w:type="gramEnd"/>
      <w:r w:rsidRPr="000D0263">
        <w:rPr>
          <w:rFonts w:ascii="Arial" w:hAnsi="Arial" w:cs="Arial"/>
          <w:color w:val="222222"/>
          <w:shd w:val="clear" w:color="auto" w:fill="FFFFFF"/>
        </w:rPr>
        <w:t>的其他科学研究、技术开发与科学技术应用活动。</w:t>
      </w:r>
    </w:p>
    <w:p w14:paraId="742B4114"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第九十五条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国家加强学术期刊建设，完善科研论文和科学技术信息交流机制，推动开放科学的发展，促进科学技术交流和传播。</w:t>
      </w:r>
    </w:p>
    <w:p w14:paraId="3A6C7FEC"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第九十七条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利用财政性资金设立的科学技术研究开发机构、高等学校和企业，在推进科技管理改革、开展科学技术研究开发、实施科技成果转化活动过程中，相关负责人锐意创新探索，出现决策失误、偏差，但尽到合理注意义务和监督管理职责，</w:t>
      </w:r>
      <w:r w:rsidRPr="000D0263">
        <w:rPr>
          <w:rFonts w:ascii="Arial" w:hAnsi="Arial" w:cs="Arial"/>
          <w:color w:val="222222"/>
          <w:shd w:val="clear" w:color="auto" w:fill="FFFFFF"/>
        </w:rPr>
        <w:t>未牟取非法利益的，免除其决策责任。</w:t>
      </w:r>
    </w:p>
    <w:p w14:paraId="6F744AB0"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第十章</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监督管理</w:t>
      </w:r>
    </w:p>
    <w:p w14:paraId="5B62267D"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第九十八条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国家加强科技法治化建设和科研作风学风建设，建立和完善科研诚信制度和科技监督体系，健全科技伦理治理体制，营造良好科技创新环境。</w:t>
      </w:r>
    </w:p>
    <w:p w14:paraId="5F6B809F"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第一百零三条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科学技术研究开发机构、高等学校、企业事业单位等应当履行科技伦理管理主体责任，按照国家有关规定建立健全科技伦理审查机制，对科学技术活动开展科技伦理审查。</w:t>
      </w:r>
    </w:p>
    <w:p w14:paraId="3A322D3A"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第一百零四条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国家加强科研诚信建设，建立科学技术项目诚信档案及科研诚信管理信息系统，坚持预防与惩治并举、自律与监督并重，完善对失信行为的预防、调查、处理机制。</w:t>
      </w:r>
    </w:p>
    <w:p w14:paraId="31FDDF44"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任何组织和个人不得虚构、伪造科研成果，不得发布、传播虚假科研成果，不得从事学术论文及其实验研究数据、科学技术计划项目申报验收材料等的买卖、代写、代投服务。</w:t>
      </w:r>
    </w:p>
    <w:p w14:paraId="736AFB55"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第一百零五条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国家建立健全科技报告制度，财政性资金资助的科学技术计划项目的承担者应当按照规定及时提交报告。</w:t>
      </w:r>
    </w:p>
    <w:p w14:paraId="6A38DE98"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第一百零七条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禁止危害国家安全、损害社会公共利益、危害人体健康、违背科研诚信和科技伦理的科学技术研究开</w:t>
      </w:r>
      <w:r w:rsidRPr="000D0263">
        <w:rPr>
          <w:rFonts w:ascii="Arial" w:hAnsi="Arial" w:cs="Arial"/>
          <w:color w:val="222222"/>
          <w:shd w:val="clear" w:color="auto" w:fill="FFFFFF"/>
        </w:rPr>
        <w:t>发和应用活动。</w:t>
      </w:r>
    </w:p>
    <w:p w14:paraId="22C04AA8"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从事科学技术活动，应当遵守科学技术活动管理规范。对严重违反科学技术活动管理规范的组织和个人，由科学技术行政等有关部门记入科研诚信严重失信行为数据库。</w:t>
      </w:r>
    </w:p>
    <w:p w14:paraId="45FCD5EA"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第十一章</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法律责任</w:t>
      </w:r>
    </w:p>
    <w:p w14:paraId="0FA74568"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第一百一十条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违反本法规定，虚报、冒领、贪污、挪用、截留用于科学技术进步的财政性资金或者社会捐赠资金的，由有关主管部门责令改正，追回有关财政性资金，责令退还捐赠资金，给予警告或者通报批评，并可以暂停拨款，终止或者撤销相关科学技术活动；情节严重的，依法处以罚款，禁止一定期限内承</w:t>
      </w:r>
      <w:r w:rsidRPr="000D0263">
        <w:rPr>
          <w:rFonts w:ascii="Arial" w:hAnsi="Arial" w:cs="Arial"/>
          <w:color w:val="222222"/>
          <w:shd w:val="clear" w:color="auto" w:fill="FFFFFF"/>
        </w:rPr>
        <w:lastRenderedPageBreak/>
        <w:t>担或者参与财政性资金支持的科学技术活动；对直接负责</w:t>
      </w:r>
      <w:r w:rsidRPr="000D0263">
        <w:rPr>
          <w:rFonts w:ascii="Arial" w:hAnsi="Arial" w:cs="Arial"/>
          <w:color w:val="222222"/>
          <w:shd w:val="clear" w:color="auto" w:fill="FFFFFF"/>
        </w:rPr>
        <w:t>的主管人员和其他直接责任人员依法给予行政处罚和处分。</w:t>
      </w:r>
    </w:p>
    <w:p w14:paraId="1F1E60A1"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第一百一十一条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违反本法规定，利用财政性资金和国有资本购置大型科学仪器、设备后，不履行大型科学仪器、设备等科学技术资源共享使用义务的，由有关主管部门责令改正，给予警告或者通报批评，对直接负责的主管人员和其他直接责任人员依法给予处分。</w:t>
      </w:r>
    </w:p>
    <w:p w14:paraId="6B6DBCA7"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第一百一十二条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违反本法规定，进行危害国家安全、损害社会公共利益、危害人体健康、违背科研诚信和科技伦理的科学技术研究开发和应用活动的，由科学技术人员所在单位或者有关主管部门责令改正；获得用于科学技术进步的财政性资金或者有违法</w:t>
      </w:r>
      <w:r w:rsidRPr="000D0263">
        <w:rPr>
          <w:rFonts w:ascii="Arial" w:hAnsi="Arial" w:cs="Arial"/>
          <w:color w:val="222222"/>
          <w:shd w:val="clear" w:color="auto" w:fill="FFFFFF"/>
        </w:rPr>
        <w:t>所得的，由有关主管部门终止或者撤销相关科学技术活动，追回财政性资金，没收违法所得；情节严重的，由有关主管部门向社会公布其违法行为，依法给予行政处罚和处分，禁止一定期限内承担或者参与财政性资金支持的科学技术活动、申请相关科学技术活动行政许可；对直接负责的主管人员和其他直接责任人员依法给予行政处罚和处分。</w:t>
      </w:r>
    </w:p>
    <w:p w14:paraId="6BEB4D66"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违反本法规定，虚构、伪造科研成果，发布、传播虚假科研成果，或者从事学术论文及其实验研究数据、科学技术计划项目申报验收材料等的买卖、代写、代</w:t>
      </w:r>
      <w:proofErr w:type="gramStart"/>
      <w:r w:rsidRPr="000D0263">
        <w:rPr>
          <w:rFonts w:ascii="Arial" w:hAnsi="Arial" w:cs="Arial"/>
          <w:color w:val="222222"/>
          <w:shd w:val="clear" w:color="auto" w:fill="FFFFFF"/>
        </w:rPr>
        <w:t>投服务</w:t>
      </w:r>
      <w:proofErr w:type="gramEnd"/>
      <w:r w:rsidRPr="000D0263">
        <w:rPr>
          <w:rFonts w:ascii="Arial" w:hAnsi="Arial" w:cs="Arial"/>
          <w:color w:val="222222"/>
          <w:shd w:val="clear" w:color="auto" w:fill="FFFFFF"/>
        </w:rPr>
        <w:t>的，由有关主管部门给予警告或者通报批评，处以罚款；有违法所得的，</w:t>
      </w:r>
      <w:r w:rsidRPr="000D0263">
        <w:rPr>
          <w:rFonts w:ascii="Arial" w:hAnsi="Arial" w:cs="Arial"/>
          <w:color w:val="222222"/>
          <w:shd w:val="clear" w:color="auto" w:fill="FFFFFF"/>
        </w:rPr>
        <w:t>没收违法所得；情节严重的，吊销许可证件。</w:t>
      </w:r>
    </w:p>
    <w:p w14:paraId="3D053046"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第一百一十三条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违反本法规定，从事科学技术活动违反科学技术活动管理规范的，由有关主管部门责令限期改正，并可以追回有关财政性资金，给予警告或者通报批评，暂停拨款、终止或者撤销相关财政性资金支持的科学技术活动；情节严重的，禁止一定期限内承担或者参与财政性资金支持的科学技术活动，取消一定期限</w:t>
      </w:r>
      <w:proofErr w:type="gramStart"/>
      <w:r w:rsidRPr="000D0263">
        <w:rPr>
          <w:rFonts w:ascii="Arial" w:hAnsi="Arial" w:cs="Arial"/>
          <w:color w:val="222222"/>
          <w:shd w:val="clear" w:color="auto" w:fill="FFFFFF"/>
        </w:rPr>
        <w:t>内财政</w:t>
      </w:r>
      <w:proofErr w:type="gramEnd"/>
      <w:r w:rsidRPr="000D0263">
        <w:rPr>
          <w:rFonts w:ascii="Arial" w:hAnsi="Arial" w:cs="Arial"/>
          <w:color w:val="222222"/>
          <w:shd w:val="clear" w:color="auto" w:fill="FFFFFF"/>
        </w:rPr>
        <w:t>性资金支持的科学技术活动管理资格；对直接负责的主管人员和其他直接责任人员依法给予处分。</w:t>
      </w:r>
    </w:p>
    <w:p w14:paraId="0B19CEC4"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第一百一十四条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违反本法规定，骗取国家科学技术奖励的，由主管部门依法撤销奖励，追回奖章、证书和奖金等，并依法给予处分。</w:t>
      </w:r>
    </w:p>
    <w:p w14:paraId="781DE6CD"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违反本法规定，提名单位或者个人提供虚假数据、材料，协助他人骗取国家科学技术奖励的，由主管部门给予通报批评；情节严重的，暂停或者取消其提名资格，并依法给予处分。</w:t>
      </w:r>
    </w:p>
    <w:p w14:paraId="2E2C501E" w14:textId="77777777" w:rsidR="00031F27" w:rsidRPr="000D0263" w:rsidRDefault="0063570B">
      <w:pPr>
        <w:pStyle w:val="a5"/>
        <w:widowControl/>
        <w:spacing w:beforeAutospacing="0" w:afterAutospacing="0"/>
        <w:ind w:firstLineChars="237" w:firstLine="569"/>
        <w:rPr>
          <w:color w:val="222222"/>
        </w:rPr>
      </w:pPr>
      <w:r w:rsidRPr="000D0263">
        <w:rPr>
          <w:rFonts w:ascii="Arial" w:hAnsi="Arial" w:cs="Arial"/>
          <w:color w:val="222222"/>
          <w:shd w:val="clear" w:color="auto" w:fill="FFFFFF"/>
        </w:rPr>
        <w:t>第一百一十五条</w:t>
      </w:r>
      <w:r w:rsidRPr="000D0263">
        <w:rPr>
          <w:rFonts w:ascii="Arial" w:hAnsi="Arial" w:cs="Arial"/>
          <w:color w:val="222222"/>
          <w:shd w:val="clear" w:color="auto" w:fill="FFFFFF"/>
        </w:rPr>
        <w:t xml:space="preserve"> </w:t>
      </w:r>
      <w:r w:rsidRPr="000D0263">
        <w:rPr>
          <w:rFonts w:ascii="Arial" w:hAnsi="Arial" w:cs="Arial"/>
          <w:color w:val="222222"/>
          <w:shd w:val="clear" w:color="auto" w:fill="FFFFFF"/>
        </w:rPr>
        <w:t>违反本法规定的行为，本法未作行政处罚规定，其他有关法律、行政法规有规定的，依照其规定；造成财产损失或者其他损害的，依法承担民事责任；构成违反治安管理行为的，依法给予治安管理处罚；构成犯罪的，依法追究刑事责任。</w:t>
      </w:r>
    </w:p>
    <w:p w14:paraId="750A5C4C" w14:textId="77777777" w:rsidR="00031F27" w:rsidRPr="000D0263" w:rsidRDefault="00031F27">
      <w:pPr>
        <w:pStyle w:val="a5"/>
        <w:widowControl/>
        <w:spacing w:beforeAutospacing="0" w:afterAutospacing="0"/>
        <w:ind w:firstLineChars="237" w:firstLine="569"/>
        <w:rPr>
          <w:color w:val="222222"/>
        </w:rPr>
      </w:pPr>
    </w:p>
    <w:p w14:paraId="2983C1CD" w14:textId="77777777" w:rsidR="00031F27" w:rsidRPr="000D0263" w:rsidRDefault="00031F27">
      <w:pPr>
        <w:ind w:firstLineChars="237" w:firstLine="569"/>
        <w:rPr>
          <w:sz w:val="24"/>
        </w:rPr>
      </w:pPr>
    </w:p>
    <w:p w14:paraId="3EAEA86B" w14:textId="77777777" w:rsidR="00031F27" w:rsidRPr="000D0263" w:rsidRDefault="00031F27">
      <w:pPr>
        <w:pStyle w:val="a5"/>
        <w:widowControl/>
        <w:spacing w:beforeAutospacing="0" w:afterAutospacing="0" w:line="240" w:lineRule="atLeast"/>
        <w:ind w:firstLine="420"/>
        <w:rPr>
          <w:rFonts w:ascii="仿宋" w:eastAsia="仿宋" w:hAnsi="仿宋" w:cs="仿宋"/>
          <w:shd w:val="clear" w:color="auto" w:fill="FFFFFF"/>
        </w:rPr>
      </w:pPr>
    </w:p>
    <w:p w14:paraId="4D7FEDA2" w14:textId="77777777" w:rsidR="00031F27" w:rsidRPr="000D0263" w:rsidRDefault="00031F27">
      <w:pPr>
        <w:pStyle w:val="a5"/>
        <w:widowControl/>
        <w:spacing w:beforeAutospacing="0" w:afterAutospacing="0" w:line="240" w:lineRule="atLeast"/>
        <w:rPr>
          <w:rFonts w:ascii="仿宋" w:eastAsia="仿宋" w:hAnsi="仿宋" w:cs="仿宋"/>
          <w:shd w:val="clear" w:color="auto" w:fill="FFFFFF"/>
        </w:rPr>
      </w:pPr>
    </w:p>
    <w:sectPr w:rsidR="00031F27" w:rsidRPr="000D0263">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0D78C" w14:textId="77777777" w:rsidR="0063570B" w:rsidRDefault="0063570B">
      <w:r>
        <w:separator/>
      </w:r>
    </w:p>
  </w:endnote>
  <w:endnote w:type="continuationSeparator" w:id="0">
    <w:p w14:paraId="5C035CCC" w14:textId="77777777" w:rsidR="0063570B" w:rsidRDefault="00635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方正小标宋简体"/>
    <w:panose1 w:val="02010601030101010101"/>
    <w:charset w:val="86"/>
    <w:family w:val="auto"/>
    <w:pitch w:val="variable"/>
    <w:sig w:usb0="00000001" w:usb1="080E0000" w:usb2="0000001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 w:name="华文仿宋">
    <w:altName w:val="华文仿宋"/>
    <w:panose1 w:val="02010600040101010101"/>
    <w:charset w:val="86"/>
    <w:family w:val="auto"/>
    <w:pitch w:val="variable"/>
    <w:sig w:usb0="00000287" w:usb1="080F0000" w:usb2="00000010" w:usb3="00000000" w:csb0="0004009F" w:csb1="00000000"/>
  </w:font>
  <w:font w:name="Cambria">
    <w:altName w:val="Cambria"/>
    <w:panose1 w:val="02040503050406030204"/>
    <w:charset w:val="00"/>
    <w:family w:val="roman"/>
    <w:pitch w:val="variable"/>
    <w:sig w:usb0="E00006FF" w:usb1="420024FF" w:usb2="02000000" w:usb3="00000000" w:csb0="0000019F" w:csb1="00000000"/>
  </w:font>
  <w:font w:name="仿宋">
    <w:altName w:val="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FC93F" w14:textId="77777777" w:rsidR="00031F27" w:rsidRDefault="0063570B">
    <w:pPr>
      <w:pStyle w:val="a3"/>
    </w:pPr>
    <w:r>
      <w:rPr>
        <w:noProof/>
      </w:rPr>
      <mc:AlternateContent>
        <mc:Choice Requires="wps">
          <w:drawing>
            <wp:anchor distT="0" distB="0" distL="0" distR="0" simplePos="0" relativeHeight="2" behindDoc="0" locked="0" layoutInCell="1" allowOverlap="1" wp14:anchorId="6EDAA37F" wp14:editId="54BF4063">
              <wp:simplePos x="0" y="0"/>
              <wp:positionH relativeFrom="margin">
                <wp:align>center</wp:align>
              </wp:positionH>
              <wp:positionV relativeFrom="paragraph">
                <wp:posOffset>0</wp:posOffset>
              </wp:positionV>
              <wp:extent cx="1828800" cy="1828800"/>
              <wp:effectExtent l="0" t="0" r="0" b="0"/>
              <wp:wrapNone/>
              <wp:docPr id="4097"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a:ln>
                        <a:noFill/>
                      </a:ln>
                    </wps:spPr>
                    <wps:txbx>
                      <w:txbxContent>
                        <w:p w14:paraId="616B1D18" w14:textId="77777777" w:rsidR="00031F27" w:rsidRDefault="0063570B">
                          <w:pPr>
                            <w:pStyle w:val="a3"/>
                          </w:pPr>
                          <w:r>
                            <w:fldChar w:fldCharType="begin"/>
                          </w:r>
                          <w:r>
                            <w:instrText xml:space="preserve"> PAGE  \* MERGEFORMAT </w:instrText>
                          </w:r>
                          <w:r>
                            <w:fldChar w:fldCharType="separate"/>
                          </w:r>
                          <w:r>
                            <w:t>1</w:t>
                          </w:r>
                          <w:r>
                            <w:fldChar w:fldCharType="end"/>
                          </w:r>
                        </w:p>
                      </w:txbxContent>
                    </wps:txbx>
                    <wps:bodyPr vert="horz" wrap="none" lIns="0" tIns="0" rIns="0" bIns="0" anchor="t">
                      <a:prstTxWarp prst="textNoShape">
                        <a:avLst/>
                      </a:prstTxWarp>
                      <a:spAutoFit/>
                    </wps:bodyPr>
                  </wps:wsp>
                </a:graphicData>
              </a:graphic>
            </wp:anchor>
          </w:drawing>
        </mc:Choice>
        <mc:Fallback>
          <w:pict>
            <v:rect w14:anchorId="6EDAA37F" id="文本框 5" o:spid="_x0000_s1027" style="position:absolute;margin-left:0;margin-top:0;width:2in;height:2in;z-index: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" filled="f" stroked="f">
              <v:textbox style="mso-fit-shape-to-text:t" inset="0,0,0,0">
                <w:txbxContent>
                  <w:p w14:paraId="616B1D18" w14:textId="77777777" w:rsidR="00031F27" w:rsidRDefault="0063570B">
                    <w:pPr>
                      <w:pStyle w:val="a3"/>
                    </w:pPr>
                    <w:r>
                      <w:fldChar w:fldCharType="begin"/>
                    </w:r>
                    <w:r>
                      <w:instrText xml:space="preserve"> PAGE  \* MERGEFORMAT </w:instrText>
                    </w:r>
                    <w:r>
                      <w:fldChar w:fldCharType="separate"/>
                    </w:r>
                    <w:r>
                      <w:t>1</w:t>
                    </w:r>
                    <w: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4E65C" w14:textId="77777777" w:rsidR="0063570B" w:rsidRDefault="0063570B">
      <w:r>
        <w:separator/>
      </w:r>
    </w:p>
  </w:footnote>
  <w:footnote w:type="continuationSeparator" w:id="0">
    <w:p w14:paraId="59C771F3" w14:textId="77777777" w:rsidR="0063570B" w:rsidRDefault="006357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1F27"/>
    <w:rsid w:val="00031F27"/>
    <w:rsid w:val="000D0263"/>
    <w:rsid w:val="00635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6403B"/>
  <w15:docId w15:val="{01A91630-588C-48E7-9F1D-2DE09498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rFonts w:ascii="Calibri" w:hAnsi="Calibri" w:cs="宋体"/>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spacing w:beforeAutospacing="1" w:afterAutospacing="1"/>
      <w:jc w:val="left"/>
      <w:outlineLvl w:val="1"/>
    </w:pPr>
    <w:rPr>
      <w:rFonts w:ascii="宋体" w:hAnsi="宋体" w:hint="eastAsia"/>
      <w:b/>
      <w:bCs/>
      <w:kern w:val="0"/>
      <w:sz w:val="36"/>
      <w:szCs w:val="36"/>
    </w:rPr>
  </w:style>
  <w:style w:type="paragraph" w:styleId="3">
    <w:name w:val="heading 3"/>
    <w:basedOn w:val="a"/>
    <w:next w:val="a"/>
    <w:uiPriority w:val="9"/>
    <w:semiHidden/>
    <w:unhideWhenUsed/>
    <w:qFormat/>
    <w:pPr>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style>
  <w:style w:type="paragraph" w:styleId="a5">
    <w:name w:val="Normal (Web)"/>
    <w:basedOn w:val="a"/>
    <w:qFormat/>
    <w:pPr>
      <w:spacing w:beforeAutospacing="1" w:afterAutospacing="1"/>
      <w:jc w:val="left"/>
    </w:pPr>
    <w:rPr>
      <w:kern w:val="0"/>
      <w:sz w:val="24"/>
    </w:rPr>
  </w:style>
  <w:style w:type="character" w:styleId="a6">
    <w:name w:val="Strong"/>
    <w:basedOn w:val="a0"/>
    <w:qFormat/>
    <w:rPr>
      <w:b/>
    </w:rPr>
  </w:style>
  <w:style w:type="character" w:styleId="a7">
    <w:name w:val="FollowedHyperlink"/>
    <w:basedOn w:val="a0"/>
    <w:qFormat/>
    <w:rPr>
      <w:color w:val="005C81"/>
      <w:u w:val="none"/>
    </w:rPr>
  </w:style>
  <w:style w:type="character" w:styleId="a8">
    <w:name w:val="Emphasis"/>
    <w:basedOn w:val="a0"/>
    <w:qFormat/>
  </w:style>
  <w:style w:type="character" w:styleId="a9">
    <w:name w:val="Hyperlink"/>
    <w:basedOn w:val="a0"/>
    <w:uiPriority w:val="99"/>
    <w:qFormat/>
    <w:rPr>
      <w:color w:val="0563C1"/>
      <w:u w:val="single"/>
    </w:rPr>
  </w:style>
  <w:style w:type="character" w:customStyle="1" w:styleId="10">
    <w:name w:val="标题 1 字符"/>
    <w:basedOn w:val="a0"/>
    <w:link w:val="1"/>
    <w:qFormat/>
    <w:rPr>
      <w:rFonts w:ascii="Calibri" w:eastAsia="宋体" w:hAnsi="Calibri" w:cs="宋体"/>
      <w:b/>
      <w:bCs/>
      <w:kern w:val="44"/>
      <w:sz w:val="44"/>
      <w:szCs w:val="44"/>
    </w:r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9CBA4DE-7F73-40B1-ADD8-A1C074E599E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1149</Words>
  <Characters>6552</Characters>
  <Application>Microsoft Office Word</Application>
  <DocSecurity>0</DocSecurity>
  <Lines>54</Lines>
  <Paragraphs>15</Paragraphs>
  <ScaleCrop>false</ScaleCrop>
  <Company>神州网信技术有限公司</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DHQ</dc:creator>
  <cp:lastModifiedBy>qql</cp:lastModifiedBy>
  <cp:revision>9</cp:revision>
  <cp:lastPrinted>2022-09-02T06:16:00Z</cp:lastPrinted>
  <dcterms:created xsi:type="dcterms:W3CDTF">2014-10-29T12:08:00Z</dcterms:created>
  <dcterms:modified xsi:type="dcterms:W3CDTF">2023-03-20T02:29:00Z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A934D8DDF0A042A59C0B5220CB94575E</vt:lpwstr>
  </property>
</Properties>
</file>